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40" w:after="0"/>
        <w:ind w:left="6379" w:hanging="0"/>
        <w:jc w:val="both"/>
        <w:rPr>
          <w:sz w:val="22"/>
          <w:szCs w:val="22"/>
        </w:rPr>
      </w:pPr>
      <w:r>
        <w:rPr>
          <w:sz w:val="22"/>
          <w:szCs w:val="22"/>
        </w:rPr>
        <w:t>УТВЕРЖДАЮ</w:t>
      </w:r>
    </w:p>
    <w:p>
      <w:pPr>
        <w:pStyle w:val="Normal"/>
        <w:spacing w:before="40" w:after="0"/>
        <w:ind w:left="6379" w:hanging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Председатель правления </w:t>
      </w:r>
    </w:p>
    <w:p>
      <w:pPr>
        <w:pStyle w:val="Normal"/>
        <w:spacing w:before="40" w:after="0"/>
        <w:ind w:left="6379" w:hanging="0"/>
        <w:jc w:val="both"/>
        <w:rPr>
          <w:sz w:val="22"/>
          <w:szCs w:val="22"/>
        </w:rPr>
      </w:pPr>
      <w:r>
        <w:rPr>
          <w:sz w:val="22"/>
          <w:szCs w:val="22"/>
        </w:rPr>
        <w:t>СООО «ФМС»</w:t>
      </w:r>
    </w:p>
    <w:p>
      <w:pPr>
        <w:pStyle w:val="Normal"/>
        <w:spacing w:before="40" w:after="0"/>
        <w:ind w:left="6379" w:hanging="0"/>
        <w:jc w:val="both"/>
        <w:rPr>
          <w:sz w:val="22"/>
          <w:szCs w:val="22"/>
        </w:rPr>
      </w:pPr>
      <w:r>
        <w:rPr>
          <w:sz w:val="22"/>
          <w:szCs w:val="22"/>
        </w:rPr>
        <w:t>«   »                       2017г.</w:t>
      </w:r>
    </w:p>
    <w:p>
      <w:pPr>
        <w:pStyle w:val="Normal"/>
        <w:spacing w:before="40" w:after="0"/>
        <w:ind w:left="6379" w:hanging="0"/>
        <w:jc w:val="both"/>
        <w:rPr>
          <w:sz w:val="22"/>
          <w:szCs w:val="22"/>
        </w:rPr>
      </w:pPr>
      <w:r>
        <w:rPr>
          <w:sz w:val="22"/>
          <w:szCs w:val="22"/>
        </w:rPr>
        <w:t>________ О. Ю. Крупин</w:t>
      </w:r>
    </w:p>
    <w:p>
      <w:pPr>
        <w:pStyle w:val="Normal"/>
        <w:spacing w:before="40" w:after="0"/>
        <w:ind w:left="6379" w:hanging="0"/>
        <w:jc w:val="both"/>
        <w:rPr/>
      </w:pPr>
      <w:r>
        <w:rPr>
          <w:sz w:val="22"/>
          <w:szCs w:val="22"/>
        </w:rPr>
        <w:t xml:space="preserve"> </w:t>
      </w:r>
    </w:p>
    <w:p>
      <w:pPr>
        <w:pStyle w:val="Normal"/>
        <w:spacing w:before="40" w:after="0"/>
        <w:ind w:left="6379" w:hanging="0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numPr>
          <w:ilvl w:val="0"/>
          <w:numId w:val="0"/>
        </w:numPr>
        <w:jc w:val="center"/>
        <w:outlineLvl w:val="0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РЕГЛАМЕНТ</w:t>
      </w:r>
    </w:p>
    <w:p>
      <w:pPr>
        <w:pStyle w:val="Normal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numPr>
          <w:ilvl w:val="0"/>
          <w:numId w:val="0"/>
        </w:numPr>
        <w:jc w:val="center"/>
        <w:outlineLvl w:val="0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Личного открытого межрегионального Чемпионата Екатеринбурга по фигурному вождению мотоцикла (мотоджимхане) </w:t>
      </w:r>
      <w:r>
        <w:rPr>
          <w:b/>
          <w:bCs/>
          <w:sz w:val="24"/>
          <w:szCs w:val="24"/>
        </w:rPr>
        <w:t>Gymkhana CUP Komsomoll</w:t>
      </w:r>
      <w:r>
        <w:rPr>
          <w:b/>
          <w:bCs/>
          <w:sz w:val="24"/>
          <w:szCs w:val="24"/>
        </w:rPr>
        <w:t xml:space="preserve"> 20</w:t>
      </w:r>
      <w:r>
        <w:rPr>
          <w:b/>
          <w:bCs/>
          <w:sz w:val="24"/>
          <w:szCs w:val="24"/>
        </w:rPr>
        <w:t>21</w:t>
      </w:r>
      <w:r>
        <w:rPr>
          <w:b/>
          <w:bCs/>
          <w:sz w:val="24"/>
          <w:szCs w:val="24"/>
        </w:rPr>
        <w:t>.</w:t>
      </w:r>
    </w:p>
    <w:p>
      <w:pPr>
        <w:pStyle w:val="Normal"/>
        <w:ind w:firstLine="284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firstLine="284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ListParagraph"/>
        <w:numPr>
          <w:ilvl w:val="0"/>
          <w:numId w:val="1"/>
        </w:numPr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Цели и задачи</w:t>
      </w:r>
    </w:p>
    <w:p>
      <w:pPr>
        <w:pStyle w:val="ListParagraph"/>
        <w:ind w:left="360" w:hanging="0"/>
        <w:rPr/>
      </w:pPr>
      <w:r>
        <w:rPr/>
      </w:r>
    </w:p>
    <w:p>
      <w:pPr>
        <w:pStyle w:val="ListParagraph"/>
        <w:numPr>
          <w:ilvl w:val="1"/>
          <w:numId w:val="1"/>
        </w:numPr>
        <w:rPr/>
      </w:pPr>
      <w:r>
        <w:rPr>
          <w:sz w:val="24"/>
          <w:szCs w:val="24"/>
        </w:rPr>
        <w:t>Пропаганда и популяризация фигурного вождения мотоцикла (мотоджимханы) в Уральском Федеральном округе.</w:t>
      </w:r>
    </w:p>
    <w:p>
      <w:pPr>
        <w:pStyle w:val="ListParagraph"/>
        <w:numPr>
          <w:ilvl w:val="1"/>
          <w:numId w:val="1"/>
        </w:numPr>
        <w:rPr/>
      </w:pPr>
      <w:r>
        <w:rPr>
          <w:sz w:val="24"/>
          <w:szCs w:val="24"/>
        </w:rPr>
        <w:t>Сохранение спортивных традиций российского мотоспорта.</w:t>
      </w:r>
    </w:p>
    <w:p>
      <w:pPr>
        <w:pStyle w:val="ListParagraph"/>
        <w:numPr>
          <w:ilvl w:val="1"/>
          <w:numId w:val="1"/>
        </w:numPr>
        <w:rPr/>
      </w:pPr>
      <w:r>
        <w:rPr>
          <w:sz w:val="24"/>
          <w:szCs w:val="24"/>
        </w:rPr>
        <w:t>Повышения спортивного мастерства.</w:t>
      </w:r>
    </w:p>
    <w:p>
      <w:pPr>
        <w:pStyle w:val="ListParagraph"/>
        <w:numPr>
          <w:ilvl w:val="1"/>
          <w:numId w:val="1"/>
        </w:numPr>
        <w:rPr/>
      </w:pPr>
      <w:r>
        <w:rPr>
          <w:sz w:val="24"/>
          <w:szCs w:val="24"/>
        </w:rPr>
        <w:t>Выявления сильнейших спортсменов.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ListParagraph"/>
        <w:numPr>
          <w:ilvl w:val="0"/>
          <w:numId w:val="1"/>
        </w:numPr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Время и место проведения</w:t>
      </w:r>
    </w:p>
    <w:p>
      <w:pPr>
        <w:pStyle w:val="ListParagraph"/>
        <w:ind w:left="792" w:hanging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firstLine="360"/>
        <w:rPr>
          <w:sz w:val="24"/>
          <w:szCs w:val="24"/>
        </w:rPr>
      </w:pPr>
      <w:r>
        <w:rPr>
          <w:sz w:val="24"/>
          <w:szCs w:val="24"/>
        </w:rPr>
        <w:t>7 августа 2021 года 9:00 — 20:00</w:t>
      </w:r>
    </w:p>
    <w:p>
      <w:pPr>
        <w:pStyle w:val="Normal"/>
        <w:ind w:firstLine="360"/>
        <w:rPr>
          <w:sz w:val="24"/>
          <w:szCs w:val="24"/>
        </w:rPr>
      </w:pPr>
      <w:r>
        <w:rPr>
          <w:sz w:val="24"/>
          <w:szCs w:val="24"/>
        </w:rPr>
        <w:t xml:space="preserve">Парковка Музея автомобильной техники. Свердловская область, г. Верхняя Пышма, </w:t>
      </w:r>
      <w:r>
        <w:rPr>
          <w:sz w:val="24"/>
          <w:szCs w:val="24"/>
        </w:rPr>
        <w:t>Успенский проспект, 2Б</w:t>
      </w:r>
    </w:p>
    <w:p>
      <w:pPr>
        <w:pStyle w:val="Normal"/>
        <w:ind w:firstLine="360"/>
        <w:rPr>
          <w:sz w:val="24"/>
          <w:szCs w:val="24"/>
        </w:rPr>
      </w:pPr>
      <w:r>
        <w:rPr/>
      </w:r>
    </w:p>
    <w:p>
      <w:pPr>
        <w:pStyle w:val="ListParagraph"/>
        <w:ind w:left="792" w:hanging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ListParagraph"/>
        <w:ind w:left="792" w:hanging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ListParagraph"/>
        <w:numPr>
          <w:ilvl w:val="0"/>
          <w:numId w:val="1"/>
        </w:numPr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Руководство и организация</w:t>
      </w:r>
    </w:p>
    <w:p>
      <w:pPr>
        <w:pStyle w:val="Normal"/>
        <w:rPr/>
      </w:pPr>
      <w:r>
        <w:rPr/>
      </w:r>
    </w:p>
    <w:p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Соревнования проводятся в соответствии с действующим Спортивным кодексом, Правилами соревнований (мотоджимхана) и Положением о Межрегиональных и Всероссийских официальных спортивных соревнованиях по мотоциклетному спорту.</w:t>
      </w:r>
    </w:p>
    <w:p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Организационно-методическое руководство и контроль проведения соревнований осуществляет </w:t>
      </w:r>
      <w:r>
        <w:rPr>
          <w:rFonts w:eastAsia="Calibri" w:cs="Times New Roman"/>
          <w:sz w:val="24"/>
          <w:szCs w:val="24"/>
          <w:lang w:eastAsia="ar-SA"/>
        </w:rPr>
        <w:t>команда «Мотоджимхана Екатеринбург Team»</w:t>
      </w:r>
      <w:r>
        <w:rPr>
          <w:sz w:val="24"/>
          <w:szCs w:val="24"/>
        </w:rPr>
        <w:t>.</w:t>
      </w:r>
    </w:p>
    <w:p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Ответственность за непосредственную подготовку, проведение и финансирование соревнований возлагается на организатора.</w:t>
      </w:r>
    </w:p>
    <w:p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Судейство соревнований осуществляется судейской коллегией, назначенной судейской коллегией </w:t>
      </w:r>
      <w:r>
        <w:rPr>
          <w:rFonts w:eastAsia="Calibri" w:cs="Times New Roman"/>
          <w:sz w:val="24"/>
          <w:szCs w:val="24"/>
          <w:lang w:eastAsia="ar-SA"/>
        </w:rPr>
        <w:t>«Мотоджимхана Екатеринбург Team»</w:t>
      </w:r>
      <w:r>
        <w:rPr>
          <w:sz w:val="24"/>
          <w:szCs w:val="24"/>
        </w:rPr>
        <w:t xml:space="preserve"> в установленном порядке.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ListParagraph"/>
        <w:numPr>
          <w:ilvl w:val="0"/>
          <w:numId w:val="1"/>
        </w:numPr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Участники соревнований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К участию в соревнованиях допускаются спортсмены, имеющие гражданство Российской Федерации, на основании предварительных заявок и представившие при регистрации документы в соответствии с </w:t>
      </w:r>
      <w:r>
        <w:rPr>
          <w:sz w:val="24"/>
          <w:szCs w:val="24"/>
        </w:rPr>
        <w:t>настоящим регламентом</w:t>
      </w:r>
      <w:r>
        <w:rPr>
          <w:sz w:val="24"/>
          <w:szCs w:val="24"/>
        </w:rPr>
        <w:t xml:space="preserve">. </w:t>
      </w:r>
    </w:p>
    <w:p>
      <w:pPr>
        <w:pStyle w:val="ListParagraph"/>
        <w:numPr>
          <w:ilvl w:val="0"/>
          <w:numId w:val="0"/>
        </w:numPr>
        <w:ind w:left="1512" w:hanging="0"/>
        <w:rPr>
          <w:sz w:val="24"/>
          <w:szCs w:val="24"/>
        </w:rPr>
      </w:pPr>
      <w:r>
        <w:rPr>
          <w:sz w:val="24"/>
          <w:szCs w:val="24"/>
        </w:rPr>
        <w:t>.</w:t>
      </w:r>
    </w:p>
    <w:p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Необходимые документы (предоставляются оригиналы) для допуска спортсмена к участию в соревнованиях:</w:t>
      </w:r>
    </w:p>
    <w:p>
      <w:pPr>
        <w:pStyle w:val="Style16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именная заявка на участие в соревнованиях </w:t>
      </w:r>
      <w:r>
        <w:rPr>
          <w:sz w:val="24"/>
          <w:szCs w:val="24"/>
        </w:rPr>
        <w:t xml:space="preserve">(в электронном виде на сайте </w:t>
      </w:r>
      <w:hyperlink r:id="rId2">
        <w:r>
          <w:rPr>
            <w:sz w:val="24"/>
            <w:szCs w:val="24"/>
          </w:rPr>
          <w:t>https://gymkhana-cup.ru</w:t>
        </w:r>
      </w:hyperlink>
      <w:hyperlink r:id="rId3">
        <w:r>
          <w:rPr>
            <w:sz w:val="24"/>
            <w:szCs w:val="24"/>
          </w:rPr>
          <w:t>)</w:t>
        </w:r>
      </w:hyperlink>
      <w:r>
        <w:rPr>
          <w:sz w:val="24"/>
          <w:szCs w:val="24"/>
        </w:rPr>
        <w:t>;</w:t>
      </w:r>
    </w:p>
    <w:p>
      <w:pPr>
        <w:pStyle w:val="Style16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водительское удостоверение категории А, А1;</w:t>
      </w:r>
    </w:p>
    <w:p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нотариально заверенное разрешение от обоих родителей (только для спортсменов, не достигших 18 лет);</w:t>
      </w:r>
    </w:p>
    <w:p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документ, удостоверяющий личность спортсмена;</w:t>
      </w:r>
    </w:p>
    <w:p>
      <w:pPr>
        <w:pStyle w:val="ListParagraph"/>
        <w:numPr>
          <w:ilvl w:val="0"/>
          <w:numId w:val="0"/>
        </w:numPr>
        <w:ind w:left="2232" w:hanging="0"/>
        <w:rPr>
          <w:sz w:val="24"/>
          <w:szCs w:val="24"/>
        </w:rPr>
      </w:pPr>
      <w:r>
        <w:rPr/>
      </w:r>
    </w:p>
    <w:p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При регистрации каждый участник должен уплатить организатору сервисный экологический сбор в размере </w:t>
      </w:r>
      <w:r>
        <w:rPr>
          <w:sz w:val="24"/>
          <w:szCs w:val="24"/>
        </w:rPr>
        <w:t>500</w:t>
      </w:r>
      <w:r>
        <w:rPr>
          <w:sz w:val="24"/>
          <w:szCs w:val="24"/>
        </w:rPr>
        <w:t xml:space="preserve"> рублей.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ListParagraph"/>
        <w:numPr>
          <w:ilvl w:val="0"/>
          <w:numId w:val="1"/>
        </w:numPr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Мотоциклы участников</w:t>
      </w:r>
    </w:p>
    <w:p>
      <w:pPr>
        <w:pStyle w:val="ListParagraph"/>
        <w:ind w:left="360" w:hanging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ListParagraph"/>
        <w:ind w:left="360" w:hanging="0"/>
        <w:rPr>
          <w:sz w:val="24"/>
          <w:szCs w:val="24"/>
        </w:rPr>
      </w:pPr>
      <w:r>
        <w:rPr>
          <w:sz w:val="24"/>
          <w:szCs w:val="24"/>
        </w:rPr>
        <w:t>К соревнованиям допускаются мотоциклы любого производства, отвечающие техническим требованиям Правил соревнований</w:t>
      </w:r>
    </w:p>
    <w:p>
      <w:pPr>
        <w:pStyle w:val="ListParagraph"/>
        <w:ind w:left="360" w:hanging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ListParagraph"/>
        <w:ind w:left="360" w:hanging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ListParagraph"/>
        <w:numPr>
          <w:ilvl w:val="0"/>
          <w:numId w:val="1"/>
        </w:numPr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Классификация</w:t>
      </w:r>
    </w:p>
    <w:p>
      <w:pPr>
        <w:pStyle w:val="ListParagraph"/>
        <w:ind w:left="360" w:hanging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Участники подразделяются на классы следующим образом:</w:t>
      </w:r>
    </w:p>
    <w:p>
      <w:pPr>
        <w:pStyle w:val="ListParagraph"/>
        <w:numPr>
          <w:ilvl w:val="0"/>
          <w:numId w:val="8"/>
        </w:numPr>
        <w:rPr>
          <w:rFonts w:ascii="Times New Roman" w:hAnsi="Times New Roman" w:eastAsia="Calibri" w:cs="Times New Roman"/>
          <w:sz w:val="24"/>
          <w:szCs w:val="24"/>
          <w:lang w:eastAsia="ar-SA"/>
        </w:rPr>
      </w:pPr>
      <w:r>
        <w:rPr>
          <w:rFonts w:eastAsia="Calibri" w:cs="Times New Roman"/>
          <w:sz w:val="24"/>
          <w:szCs w:val="24"/>
          <w:lang w:eastAsia="ar-SA"/>
        </w:rPr>
        <w:t>Класс Новички (N — D4)</w:t>
      </w:r>
    </w:p>
    <w:p>
      <w:pPr>
        <w:pStyle w:val="ListParagraph"/>
        <w:numPr>
          <w:ilvl w:val="0"/>
          <w:numId w:val="8"/>
        </w:numPr>
        <w:rPr>
          <w:rFonts w:ascii="Times New Roman" w:hAnsi="Times New Roman" w:eastAsia="Calibri" w:cs="Times New Roman"/>
          <w:sz w:val="24"/>
          <w:szCs w:val="24"/>
          <w:lang w:eastAsia="ar-SA"/>
        </w:rPr>
      </w:pPr>
      <w:r>
        <w:rPr>
          <w:rFonts w:eastAsia="Calibri" w:cs="Times New Roman"/>
          <w:sz w:val="24"/>
          <w:szCs w:val="24"/>
          <w:lang w:eastAsia="ar-SA"/>
        </w:rPr>
        <w:t>Любители (D3 — D2)</w:t>
      </w:r>
    </w:p>
    <w:p>
      <w:pPr>
        <w:pStyle w:val="ListParagraph"/>
        <w:numPr>
          <w:ilvl w:val="0"/>
          <w:numId w:val="8"/>
        </w:numPr>
        <w:rPr>
          <w:rFonts w:ascii="Times New Roman" w:hAnsi="Times New Roman" w:eastAsia="Calibri" w:cs="Times New Roman"/>
          <w:sz w:val="24"/>
          <w:szCs w:val="24"/>
          <w:lang w:eastAsia="ar-SA"/>
        </w:rPr>
      </w:pPr>
      <w:r>
        <w:rPr>
          <w:rFonts w:eastAsia="Calibri" w:cs="Times New Roman"/>
          <w:sz w:val="24"/>
          <w:szCs w:val="24"/>
          <w:lang w:eastAsia="ar-SA"/>
        </w:rPr>
        <w:t>Спортсмены (D1 — C3)</w:t>
      </w:r>
    </w:p>
    <w:p>
      <w:pPr>
        <w:pStyle w:val="ListParagraph"/>
        <w:numPr>
          <w:ilvl w:val="0"/>
          <w:numId w:val="8"/>
        </w:numPr>
        <w:rPr>
          <w:rFonts w:ascii="Times New Roman" w:hAnsi="Times New Roman" w:eastAsia="Calibri" w:cs="Times New Roman"/>
          <w:sz w:val="24"/>
          <w:szCs w:val="24"/>
          <w:lang w:eastAsia="ar-SA"/>
        </w:rPr>
      </w:pPr>
      <w:r>
        <w:rPr>
          <w:rFonts w:eastAsia="Calibri" w:cs="Times New Roman"/>
          <w:sz w:val="24"/>
          <w:szCs w:val="24"/>
          <w:lang w:eastAsia="ar-SA"/>
        </w:rPr>
        <w:t>ПРО (С2 — С1)</w:t>
      </w:r>
    </w:p>
    <w:p>
      <w:pPr>
        <w:pStyle w:val="ListParagraph"/>
        <w:numPr>
          <w:ilvl w:val="0"/>
          <w:numId w:val="8"/>
        </w:numPr>
        <w:rPr>
          <w:rFonts w:ascii="Times New Roman" w:hAnsi="Times New Roman" w:eastAsia="Calibri" w:cs="Times New Roman"/>
          <w:sz w:val="24"/>
          <w:szCs w:val="24"/>
          <w:lang w:eastAsia="ar-SA"/>
        </w:rPr>
      </w:pPr>
      <w:r>
        <w:rPr>
          <w:rFonts w:eastAsia="Calibri" w:cs="Times New Roman"/>
          <w:sz w:val="24"/>
          <w:szCs w:val="24"/>
          <w:lang w:eastAsia="ar-SA"/>
        </w:rPr>
        <w:t>Круизеры</w:t>
      </w:r>
    </w:p>
    <w:p>
      <w:pPr>
        <w:pStyle w:val="ListParagraph"/>
        <w:numPr>
          <w:ilvl w:val="0"/>
          <w:numId w:val="0"/>
        </w:numPr>
        <w:ind w:left="2232" w:hanging="0"/>
        <w:rPr>
          <w:rFonts w:ascii="Times New Roman" w:hAnsi="Times New Roman" w:eastAsia="Calibri" w:cs="Times New Roman"/>
          <w:sz w:val="24"/>
          <w:szCs w:val="24"/>
          <w:lang w:eastAsia="ar-SA"/>
        </w:rPr>
      </w:pPr>
      <w:r>
        <w:rPr>
          <w:rFonts w:eastAsia="Calibri" w:cs="Times New Roman"/>
          <w:sz w:val="24"/>
          <w:szCs w:val="24"/>
          <w:lang w:eastAsia="ar-SA"/>
        </w:rPr>
      </w:r>
    </w:p>
    <w:p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Участник соревнований может выступать </w:t>
      </w:r>
      <w:r>
        <w:rPr>
          <w:rFonts w:eastAsia="Calibri" w:cs="Times New Roman"/>
          <w:sz w:val="24"/>
          <w:szCs w:val="24"/>
          <w:lang w:eastAsia="ar-SA"/>
        </w:rPr>
        <w:t>только</w:t>
      </w:r>
      <w:r>
        <w:rPr>
          <w:sz w:val="24"/>
          <w:szCs w:val="24"/>
        </w:rPr>
        <w:t xml:space="preserve"> в </w:t>
      </w:r>
      <w:r>
        <w:rPr>
          <w:sz w:val="24"/>
          <w:szCs w:val="24"/>
        </w:rPr>
        <w:t>одном классе и не более чем на одном мотоцикле</w:t>
      </w:r>
      <w:r>
        <w:rPr>
          <w:sz w:val="24"/>
          <w:szCs w:val="24"/>
        </w:rPr>
        <w:t>.</w:t>
      </w:r>
    </w:p>
    <w:p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Решение технической комиссии о присвоении того или иного класса обжалованию не подлежит.</w:t>
      </w:r>
    </w:p>
    <w:p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Класс считается состоявшимся, если в нем участвует не менее 4х участников.</w:t>
      </w:r>
    </w:p>
    <w:p>
      <w:pPr>
        <w:pStyle w:val="ListParagraph"/>
        <w:ind w:left="360" w:hanging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ListParagraph"/>
        <w:ind w:left="360" w:hanging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ListParagraph"/>
        <w:numPr>
          <w:ilvl w:val="0"/>
          <w:numId w:val="1"/>
        </w:numPr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Условия проведения соревнований</w:t>
      </w:r>
    </w:p>
    <w:p>
      <w:pPr>
        <w:pStyle w:val="ListParagraph"/>
        <w:ind w:left="360" w:hanging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Соревнования проводятся на личное первенство в два заезда на каждом этапе для каждого класса мотоциклов.</w:t>
      </w:r>
    </w:p>
    <w:p>
      <w:pPr>
        <w:pStyle w:val="ListParagraph"/>
        <w:ind w:left="792" w:hanging="0"/>
        <w:rPr>
          <w:sz w:val="24"/>
          <w:szCs w:val="24"/>
        </w:rPr>
      </w:pPr>
      <w:r>
        <w:rPr>
          <w:sz w:val="24"/>
          <w:szCs w:val="24"/>
        </w:rPr>
        <w:t>Изменение стартовых номеров и/или выступление под одним номером разных участников ЗАПРЕЩЕНО.</w:t>
      </w:r>
    </w:p>
    <w:p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Выход на старт первого заезда производится в порядке определенном стартовой таблицей и по приглашению судьи.</w:t>
      </w:r>
    </w:p>
    <w:p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Порядок заездов: </w:t>
      </w:r>
    </w:p>
    <w:p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Первый заезд все классы.</w:t>
      </w:r>
    </w:p>
    <w:p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Дуэльные заезды (мотородео)</w:t>
      </w:r>
    </w:p>
    <w:p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Второй заезд все классы.</w:t>
      </w:r>
    </w:p>
    <w:p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Дуэльные заезды (мотородео)</w:t>
      </w:r>
    </w:p>
    <w:p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За 10 минут до старта каждого заезда мотоциклы должны быть в предстартовом парке.</w:t>
      </w:r>
    </w:p>
    <w:p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Размер залога, вносимого при подаче протеста – 5000 руб.</w:t>
      </w:r>
    </w:p>
    <w:p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В день соревнований, тренировки на трассе, на которой проходят соревнования, не проводятся. Разрешено изучение трассы пешком в установленное время. При наличии тренировочной трассы, разрешается по 2 заезда по ней.</w:t>
      </w:r>
    </w:p>
    <w:p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Распорядок проведения соревнований является </w:t>
      </w:r>
      <w:r>
        <w:rPr>
          <w:rFonts w:eastAsia="Calibri" w:cs="Times New Roman"/>
          <w:sz w:val="24"/>
          <w:szCs w:val="24"/>
          <w:lang w:eastAsia="ar-SA"/>
        </w:rPr>
        <w:t>ориентировочным</w:t>
      </w:r>
      <w:r>
        <w:rPr>
          <w:sz w:val="24"/>
          <w:szCs w:val="24"/>
        </w:rPr>
        <w:t>. Уточненное расписание вывешивается на соревнованиях на доску информации.</w:t>
      </w:r>
    </w:p>
    <w:p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Штрафные баллы и их обозначение судьями на трассе:</w:t>
      </w:r>
    </w:p>
    <w:p>
      <w:pPr>
        <w:pStyle w:val="ListParagraph"/>
        <w:ind w:left="792" w:hanging="0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+ 1 сек. (желтый флаг):</w:t>
      </w:r>
    </w:p>
    <w:p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касание ограждений и элементов трассы;</w:t>
      </w:r>
    </w:p>
    <w:p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снять ногу с подножки и коснуться ногой (кроме остановки в воротах старт-финиш).</w:t>
      </w:r>
    </w:p>
    <w:p>
      <w:pPr>
        <w:pStyle w:val="ListParagraph"/>
        <w:ind w:left="792" w:hanging="0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+ 3 сек. (красный флаг):</w:t>
      </w:r>
    </w:p>
    <w:p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выезд за границу трассы;</w:t>
      </w:r>
    </w:p>
    <w:p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невыполнение проезда по линии в элементе типа "Зеркало" (два конуса с полосой разметки между ними);</w:t>
      </w:r>
    </w:p>
    <w:p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снять ногу с подножки и перебирать ногой / касание ногой земли для выполнения разворота;</w:t>
      </w:r>
    </w:p>
    <w:p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выезд за габариты ворот старт-финиш (переднее колесо ТС находится вне линий ворот старт-финиш);</w:t>
      </w:r>
    </w:p>
    <w:p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неполный въезд ТС в ворота старт-финиш (заднее колесо ТС находится вне линий ворот старт-финиш);</w:t>
      </w:r>
    </w:p>
    <w:p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участник или ТС находятся за пределами ворот старт-финиш.</w:t>
      </w:r>
    </w:p>
    <w:p>
      <w:pPr>
        <w:pStyle w:val="ListParagraph"/>
        <w:ind w:left="792" w:hanging="0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Незачет попытки (оба флага одновременно):</w:t>
      </w:r>
    </w:p>
    <w:p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пропуск элемента трассы </w:t>
      </w:r>
      <w:r>
        <w:rPr>
          <w:sz w:val="24"/>
          <w:szCs w:val="24"/>
        </w:rPr>
        <w:t>(допускается вернуться и проехать элементы в правильной последовательности)</w:t>
      </w:r>
      <w:r>
        <w:rPr>
          <w:sz w:val="24"/>
          <w:szCs w:val="24"/>
        </w:rPr>
        <w:t>;</w:t>
      </w:r>
    </w:p>
    <w:p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проезд конуса не с той стороны </w:t>
      </w:r>
      <w:r>
        <w:rPr>
          <w:sz w:val="24"/>
          <w:szCs w:val="24"/>
        </w:rPr>
        <w:t>(допускается вернутся и проехать элемент правильно)</w:t>
      </w:r>
      <w:r>
        <w:rPr>
          <w:sz w:val="24"/>
          <w:szCs w:val="24"/>
        </w:rPr>
        <w:t>;</w:t>
      </w:r>
    </w:p>
    <w:p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несоблюдение маршрута движения по трассе;</w:t>
      </w:r>
    </w:p>
    <w:p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проезд ворот старт-финиш без остановки.</w:t>
      </w:r>
    </w:p>
    <w:p>
      <w:pPr>
        <w:pStyle w:val="ListParagraph"/>
        <w:ind w:left="792" w:hanging="0"/>
        <w:rPr>
          <w:sz w:val="24"/>
          <w:szCs w:val="24"/>
        </w:rPr>
      </w:pPr>
      <w:r>
        <w:rPr>
          <w:sz w:val="24"/>
          <w:szCs w:val="24"/>
        </w:rPr>
        <w:t>Штрафов за падение не предусмотрено. Участник может поднять мотоцикл и продолжить заезд.</w:t>
      </w:r>
    </w:p>
    <w:p>
      <w:pPr>
        <w:pStyle w:val="ListParagraph"/>
        <w:ind w:left="792" w:hanging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ListParagraph"/>
        <w:ind w:left="792" w:hanging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ListParagraph"/>
        <w:numPr>
          <w:ilvl w:val="0"/>
          <w:numId w:val="1"/>
        </w:numPr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Определение результатов</w:t>
      </w:r>
    </w:p>
    <w:p>
      <w:pPr>
        <w:pStyle w:val="ListParagraph"/>
        <w:ind w:left="360" w:hanging="0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Все гонщики, участвующие в заезде, классифицируются по времени прохождения трассы.</w:t>
      </w:r>
    </w:p>
    <w:p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Личное первенство по итогам этапа определяется по наилучшему времени трассы в рамках класса.</w:t>
      </w:r>
    </w:p>
    <w:p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/>
      </w:r>
    </w:p>
    <w:p>
      <w:pPr>
        <w:pStyle w:val="NoSpacing"/>
        <w:jc w:val="both"/>
        <w:rPr>
          <w:rFonts w:ascii="Times New Roman" w:hAnsi="Times New Roman" w:eastAsia="Times New Roman" w:cs="Times New Roman"/>
          <w:sz w:val="24"/>
          <w:szCs w:val="24"/>
          <w:lang w:val="ru-RU"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val="ru-RU" w:eastAsia="ru-RU"/>
        </w:rPr>
      </w:r>
    </w:p>
    <w:p>
      <w:pPr>
        <w:pStyle w:val="NoSpacing"/>
        <w:jc w:val="both"/>
        <w:rPr>
          <w:rFonts w:ascii="Times New Roman" w:hAnsi="Times New Roman" w:eastAsia="Times New Roman" w:cs="Times New Roman"/>
          <w:sz w:val="24"/>
          <w:szCs w:val="24"/>
          <w:lang w:val="ru-RU"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val="ru-RU" w:eastAsia="ru-RU"/>
        </w:rPr>
      </w:r>
    </w:p>
    <w:p>
      <w:pPr>
        <w:pStyle w:val="ListParagraph"/>
        <w:numPr>
          <w:ilvl w:val="0"/>
          <w:numId w:val="1"/>
        </w:numPr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Награждение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Гонщики, занявшие в классе по итогам этапа места с 1 по 3 награждаются грамотами, медалями, а также денежными или ценными призами. </w:t>
      </w:r>
    </w:p>
    <w:p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Дополнительно грамотами могут быть награждены:</w:t>
      </w:r>
    </w:p>
    <w:p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Самая быстрая девушка на этапе</w:t>
      </w:r>
    </w:p>
    <w:p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Грамотой «за волю к победе» участник, справившийся с возникшими на этапе трудностями (например, большое количество падений, серьезная техническая неисправность и пр.) и успешно финишировавший хотя бы в одном из заездов.</w:t>
      </w:r>
    </w:p>
    <w:p>
      <w:pPr>
        <w:pStyle w:val="Normal"/>
        <w:rPr>
          <w:sz w:val="24"/>
          <w:szCs w:val="24"/>
        </w:rPr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Symbol">
    <w:charset w:val="02"/>
    <w:family w:val="auto"/>
    <w:pitch w:val="default"/>
  </w:font>
  <w:font w:name="Courier New">
    <w:charset w:val="01"/>
    <w:family w:val="auto"/>
    <w:pitch w:val="default"/>
  </w:font>
  <w:font w:name="Wingdings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0"/>
        </w:tabs>
        <w:ind w:left="1512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3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952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72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9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112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32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55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72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0"/>
        </w:tabs>
        <w:ind w:left="1512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3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952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72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9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112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32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55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72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1512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3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952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72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9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112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32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55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72" w:hanging="360"/>
      </w:pPr>
      <w:rPr>
        <w:rFonts w:ascii="Wingdings" w:hAnsi="Wingdings" w:cs="Wingdings" w:hint="default"/>
      </w:rPr>
    </w:lvl>
  </w:abstractNum>
  <w:abstractNum w:abstractNumId="5">
    <w:lvl w:ilvl="0">
      <w:start w:val="1"/>
      <w:numFmt w:val="bullet"/>
      <w:lvlText w:val=""/>
      <w:lvlJc w:val="left"/>
      <w:pPr>
        <w:tabs>
          <w:tab w:val="num" w:pos="0"/>
        </w:tabs>
        <w:ind w:left="1512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3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952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72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9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112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32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55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72" w:hanging="360"/>
      </w:pPr>
      <w:rPr>
        <w:rFonts w:ascii="Wingdings" w:hAnsi="Wingdings" w:cs="Wingdings" w:hint="default"/>
      </w:rPr>
    </w:lvl>
  </w:abstractNum>
  <w:abstractNum w:abstractNumId="6">
    <w:lvl w:ilvl="0">
      <w:start w:val="1"/>
      <w:numFmt w:val="bullet"/>
      <w:lvlText w:val=""/>
      <w:lvlJc w:val="left"/>
      <w:pPr>
        <w:tabs>
          <w:tab w:val="num" w:pos="0"/>
        </w:tabs>
        <w:ind w:left="1512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3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952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72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9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112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32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55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72" w:hanging="360"/>
      </w:pPr>
      <w:rPr>
        <w:rFonts w:ascii="Wingdings" w:hAnsi="Wingdings" w:cs="Wingdings" w:hint="default"/>
      </w:rPr>
    </w:lvl>
  </w:abstractNum>
  <w:abstractNum w:abstractNumId="7">
    <w:lvl w:ilvl="0">
      <w:start w:val="1"/>
      <w:numFmt w:val="bullet"/>
      <w:lvlText w:val=""/>
      <w:lvlJc w:val="left"/>
      <w:pPr>
        <w:tabs>
          <w:tab w:val="num" w:pos="0"/>
        </w:tabs>
        <w:ind w:left="1512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3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952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72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9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112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32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55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72" w:hanging="360"/>
      </w:pPr>
      <w:rPr>
        <w:rFonts w:ascii="Wingdings" w:hAnsi="Wingdings" w:cs="Wingdings" w:hint="default"/>
      </w:rPr>
    </w:lvl>
  </w:abstractNum>
  <w:abstractNum w:abstractNumId="8">
    <w:lvl w:ilvl="0">
      <w:start w:val="1"/>
      <w:numFmt w:val="bullet"/>
      <w:lvlText w:val=""/>
      <w:lvlJc w:val="left"/>
      <w:pPr>
        <w:tabs>
          <w:tab w:val="num" w:pos="0"/>
        </w:tabs>
        <w:ind w:left="1512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3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952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72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9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112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32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55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72" w:hanging="360"/>
      </w:pPr>
      <w:rPr>
        <w:rFonts w:ascii="Wingdings" w:hAnsi="Wingdings" w:cs="Wingdings" w:hint="default"/>
      </w:rPr>
    </w:lvl>
  </w:abstractNum>
  <w:abstractNum w:abstractNumId="9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9348b"/>
    <w:pPr>
      <w:widowControl/>
      <w:bidi w:val="0"/>
      <w:spacing w:lineRule="auto" w:line="240" w:before="0" w:after="0"/>
      <w:jc w:val="left"/>
    </w:pPr>
    <w:rPr>
      <w:rFonts w:ascii="Times New Roman" w:hAnsi="Times New Roman" w:eastAsia="Calibri" w:cs="Times New Roman" w:eastAsiaTheme="minorHAnsi"/>
      <w:color w:val="auto"/>
      <w:kern w:val="0"/>
      <w:sz w:val="20"/>
      <w:szCs w:val="20"/>
      <w:lang w:eastAsia="ar-SA" w:val="ru-RU" w:bidi="ar-SA"/>
    </w:rPr>
  </w:style>
  <w:style w:type="paragraph" w:styleId="1">
    <w:name w:val="Heading 1"/>
    <w:basedOn w:val="Style15"/>
    <w:next w:val="Style16"/>
    <w:qFormat/>
    <w:pPr>
      <w:spacing w:before="240" w:after="120"/>
      <w:outlineLvl w:val="0"/>
    </w:pPr>
    <w:rPr>
      <w:rFonts w:ascii="Liberation Serif" w:hAnsi="Liberation Serif" w:eastAsia="DejaVu Sans" w:cs="Noto Sans Arabic UI"/>
      <w:b/>
      <w:bCs/>
      <w:sz w:val="48"/>
      <w:szCs w:val="4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Верхний колонтитул Знак"/>
    <w:basedOn w:val="DefaultParagraphFont"/>
    <w:link w:val="a4"/>
    <w:qFormat/>
    <w:rsid w:val="00d825dd"/>
    <w:rPr>
      <w:rFonts w:ascii="Times New Roman" w:hAnsi="Times New Roman" w:eastAsia="Calibri" w:cs="Times New Roman"/>
      <w:sz w:val="20"/>
      <w:szCs w:val="20"/>
      <w:lang w:eastAsia="ar-SA"/>
    </w:rPr>
  </w:style>
  <w:style w:type="character" w:styleId="Style14">
    <w:name w:val="Интернет-ссылка"/>
    <w:rPr>
      <w:color w:val="000080"/>
      <w:u w:val="single"/>
      <w:lang w:val="zxx" w:eastAsia="zxx" w:bidi="zxx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ListParagraph">
    <w:name w:val="List Paragraph"/>
    <w:basedOn w:val="Normal"/>
    <w:uiPriority w:val="34"/>
    <w:qFormat/>
    <w:rsid w:val="0089348b"/>
    <w:pPr>
      <w:spacing w:before="0" w:after="0"/>
      <w:ind w:left="720" w:hanging="0"/>
      <w:contextualSpacing/>
    </w:pPr>
    <w:rPr/>
  </w:style>
  <w:style w:type="paragraph" w:styleId="Style20">
    <w:name w:val="Верхний и нижний колонтитулы"/>
    <w:basedOn w:val="Normal"/>
    <w:qFormat/>
    <w:pPr/>
    <w:rPr/>
  </w:style>
  <w:style w:type="paragraph" w:styleId="Style21">
    <w:name w:val="Header"/>
    <w:basedOn w:val="Normal"/>
    <w:link w:val="a5"/>
    <w:rsid w:val="00d825dd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NoSpacing">
    <w:name w:val="No Spacing"/>
    <w:basedOn w:val="Normal"/>
    <w:uiPriority w:val="1"/>
    <w:qFormat/>
    <w:rsid w:val="00470f59"/>
    <w:pPr/>
    <w:rPr>
      <w:rFonts w:ascii="Calibri" w:hAnsi="Calibri" w:eastAsia="" w:cs="" w:asciiTheme="minorHAnsi" w:cstheme="minorBidi" w:eastAsiaTheme="minorEastAsia" w:hAnsiTheme="minorHAnsi"/>
      <w:sz w:val="22"/>
      <w:szCs w:val="22"/>
      <w:lang w:val="en-US" w:eastAsia="en-US" w:bidi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7">
    <w:name w:val="Table Grid"/>
    <w:basedOn w:val="a1"/>
    <w:uiPriority w:val="59"/>
    <w:rsid w:val="00470f59"/>
    <w:pPr>
      <w:spacing w:after="0" w:line="240" w:lineRule="auto"/>
    </w:pPr>
    <w:rPr>
      <w:rFonts w:eastAsiaTheme="minorEastAsia"/>
      <w:lang w:val="en-US" w:bidi="en-US"/>
    </w:r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gymkhana-cup.ru/" TargetMode="External"/><Relationship Id="rId3" Type="http://schemas.openxmlformats.org/officeDocument/2006/relationships/hyperlink" Target="" TargetMode="Externa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7383</TotalTime>
  <Application>LibreOffice/6.4.7.2$Linux_X86_64 LibreOffice_project/40$Build-2</Application>
  <Pages>3</Pages>
  <Words>723</Words>
  <Characters>4718</Characters>
  <CharactersWithSpaces>5331</CharactersWithSpaces>
  <Paragraphs>83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2016-10-09T05:34:00Z</dcterms:created>
  <dc:creator>Алексей Табачков</dc:creator>
  <dc:description/>
  <dc:language>ru-RU</dc:language>
  <cp:lastModifiedBy/>
  <dcterms:modified xsi:type="dcterms:W3CDTF">2021-07-26T12:43:02Z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