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24"/>
        <w:ind w:left="6379" w:firstLine="0"/>
        <w:jc w:val="both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24"/>
        <w:ind w:left="6379" w:firstLine="0"/>
        <w:jc w:val="both"/>
        <w:spacing w:before="40" w:after="0"/>
      </w:pPr>
      <w:r>
        <w:rPr>
          <w:sz w:val="22"/>
          <w:szCs w:val="22"/>
        </w:rPr>
        <w:t xml:space="preserve"> </w:t>
      </w:r>
      <w:r/>
    </w:p>
    <w:p>
      <w:pPr>
        <w:pStyle w:val="824"/>
        <w:ind w:left="6379" w:firstLine="0"/>
        <w:spacing w:before="40" w:after="0"/>
        <w:rPr>
          <w:sz w:val="22"/>
          <w:szCs w:val="22"/>
        </w:rPr>
      </w:pPr>
      <w:r>
        <w:rPr>
          <w:sz w:val="22"/>
          <w:szCs w:val="22"/>
        </w:rPr>
      </w:r>
      <w:r/>
    </w:p>
    <w:p>
      <w:pPr>
        <w:pStyle w:val="824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РЕГЛАМЕНТ</w:t>
      </w:r>
      <w:r/>
    </w:p>
    <w:p>
      <w:pPr>
        <w:pStyle w:val="82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  <w:numPr>
          <w:ilvl w:val="0"/>
          <w:numId w:val="0"/>
        </w:numPr>
        <w:ind w:left="0" w:firstLine="0"/>
        <w:jc w:val="center"/>
        <w:rPr>
          <w:b/>
          <w:bCs/>
          <w:sz w:val="24"/>
          <w:szCs w:val="24"/>
        </w:rPr>
        <w:outlineLvl w:val="0"/>
      </w:pPr>
      <w:r>
        <w:rPr>
          <w:b/>
          <w:bCs/>
          <w:sz w:val="24"/>
          <w:szCs w:val="24"/>
        </w:rPr>
        <w:t xml:space="preserve">Личного открытого межрегионального Чемпионата Уральского федерального округа в г.Екатеринбург по фигурному вождению мотоцикла (мотоджимхане) Gymkhana CUP Ekat 2023.</w:t>
      </w:r>
      <w:r/>
    </w:p>
    <w:p>
      <w:pPr>
        <w:pStyle w:val="824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  <w:ind w:firstLine="284"/>
        <w:jc w:val="center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Цели и задачи</w:t>
      </w:r>
      <w:r/>
    </w:p>
    <w:p>
      <w:pPr>
        <w:pStyle w:val="836"/>
        <w:ind w:left="360" w:firstLine="0"/>
      </w:pPr>
      <w:r/>
      <w:r/>
    </w:p>
    <w:p>
      <w:pPr>
        <w:pStyle w:val="836"/>
        <w:numPr>
          <w:ilvl w:val="1"/>
          <w:numId w:val="2"/>
        </w:numPr>
      </w:pPr>
      <w:r>
        <w:rPr>
          <w:sz w:val="24"/>
          <w:szCs w:val="24"/>
        </w:rPr>
        <w:t xml:space="preserve">Пропаганда и популяризация фигурного вождения мотоцикла (мотоджимханы) в Уральском Федеральном округе.</w:t>
      </w:r>
      <w:r/>
    </w:p>
    <w:p>
      <w:pPr>
        <w:pStyle w:val="836"/>
        <w:numPr>
          <w:ilvl w:val="1"/>
          <w:numId w:val="2"/>
        </w:numPr>
      </w:pPr>
      <w:r>
        <w:rPr>
          <w:sz w:val="24"/>
          <w:szCs w:val="24"/>
        </w:rPr>
        <w:t xml:space="preserve">Сохранение спортивных традиций российского мотоспорта.</w:t>
      </w:r>
      <w:r/>
    </w:p>
    <w:p>
      <w:pPr>
        <w:pStyle w:val="836"/>
        <w:numPr>
          <w:ilvl w:val="1"/>
          <w:numId w:val="2"/>
        </w:numPr>
      </w:pPr>
      <w:r>
        <w:rPr>
          <w:sz w:val="24"/>
          <w:szCs w:val="24"/>
        </w:rPr>
        <w:t xml:space="preserve">Повышения спортивного мастерства.</w:t>
      </w:r>
      <w:r/>
    </w:p>
    <w:p>
      <w:pPr>
        <w:pStyle w:val="836"/>
        <w:numPr>
          <w:ilvl w:val="1"/>
          <w:numId w:val="2"/>
        </w:numPr>
      </w:pPr>
      <w:r>
        <w:rPr>
          <w:sz w:val="24"/>
          <w:szCs w:val="24"/>
        </w:rPr>
        <w:t xml:space="preserve">Выявления сильнейших спортсменов.</w:t>
      </w:r>
      <w:r/>
    </w:p>
    <w:p>
      <w:pPr>
        <w:pStyle w:val="836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</w:pPr>
      <w:r/>
      <w:r/>
    </w:p>
    <w:p>
      <w:pPr>
        <w:pStyle w:val="824"/>
      </w:pPr>
      <w:r/>
      <w:r/>
    </w:p>
    <w:p>
      <w:pPr>
        <w:pStyle w:val="836"/>
        <w:numPr>
          <w:ilvl w:val="0"/>
          <w:numId w:val="2"/>
        </w:numPr>
        <w:jc w:val="center"/>
        <w:rPr>
          <w:rFonts w:ascii="Times New Roman" w:hAnsi="Times New Roman" w:cs="Times New Roman" w:eastAsiaTheme="minorHAnsi"/>
          <w:b/>
          <w:color w:val="auto"/>
          <w:sz w:val="24"/>
          <w:szCs w:val="24"/>
          <w:lang w:val="ru-RU" w:eastAsia="ar-SA" w:bidi="ar-SA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 xml:space="preserve">Общие положения</w:t>
      </w:r>
      <w:r/>
    </w:p>
    <w:p>
      <w:pPr>
        <w:pStyle w:val="836"/>
        <w:ind w:left="360" w:firstLine="0"/>
      </w:pPr>
      <w:r/>
      <w:r/>
    </w:p>
    <w:p>
      <w:pPr>
        <w:pStyle w:val="836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Организатором соревновательного этапа </w:t>
      </w:r>
      <w:r>
        <w:rPr>
          <w:rFonts w:ascii="Liberation Serif" w:hAnsi="Liberation Serif" w:cs="Liberation Serif"/>
          <w:b/>
          <w:bCs/>
          <w:sz w:val="24"/>
          <w:szCs w:val="24"/>
        </w:rPr>
        <w:t xml:space="preserve">Gymkhana CUP Ekat 2023</w:t>
      </w:r>
      <w:r>
        <w:rPr>
          <w:rFonts w:ascii="Liberation Serif" w:hAnsi="Liberation Serif" w:cs="Liberation Serif"/>
          <w:sz w:val="24"/>
          <w:szCs w:val="24"/>
        </w:rPr>
        <w:t xml:space="preserve"> в г.Екатеринбург является команда Motogymkhana Ekaterinburg TEAM (далее Организатор). Телефон для связи с организатором: +79530018238 Сергей, +79002000338 Дмитрий.</w:t>
      </w:r>
      <w:r/>
    </w:p>
    <w:p>
      <w:pPr>
        <w:pStyle w:val="836"/>
        <w:numPr>
          <w:ilvl w:val="1"/>
          <w:numId w:val="2"/>
        </w:numPr>
        <w:rPr>
          <w:highlight w:val="none"/>
        </w:r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5 августа 2023 года 9:00 — 20:00 на парковке Ледовой арены. Свердловская область, г. Верхняя Пышма, Успенский проспект, 4. Координаты площадки: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56.969659, 60.578266</w:t>
      </w:r>
      <w:r>
        <w:rPr>
          <w:rFonts w:ascii="Liberation Serif" w:hAnsi="Liberation Serif" w:cs="Liberation Serif"/>
          <w:sz w:val="24"/>
          <w:szCs w:val="24"/>
          <w:highlight w:val="none"/>
        </w:rPr>
      </w:r>
      <w:r>
        <w:rPr>
          <w:highlight w:val="none"/>
        </w:rPr>
      </w:r>
      <w:r/>
    </w:p>
    <w:p>
      <w:pPr>
        <w:pStyle w:val="836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является единственным этапом.</w:t>
      </w:r>
      <w:r/>
    </w:p>
    <w:p>
      <w:pPr>
        <w:pStyle w:val="836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Погодные условия – без ограничений.</w:t>
      </w:r>
      <w:r/>
    </w:p>
    <w:p>
      <w:pPr>
        <w:pStyle w:val="836"/>
        <w:numPr>
          <w:ilvl w:val="1"/>
          <w:numId w:val="2"/>
        </w:numPr>
      </w:pPr>
      <w:r>
        <w:rPr>
          <w:rFonts w:ascii="Liberation Serif" w:hAnsi="Liberation Serif" w:cs="Liberation Serif"/>
          <w:sz w:val="24"/>
          <w:szCs w:val="24"/>
        </w:rPr>
        <w:t xml:space="preserve">Соревнование проводится как спринтерское ралли на двухколёсных транспортных средствах (далее ТС), состоящее из одного скоростного участка.</w:t>
      </w:r>
      <w:r/>
    </w:p>
    <w:p>
      <w:pPr>
        <w:pStyle w:val="836"/>
        <w:numPr>
          <w:ilvl w:val="1"/>
          <w:numId w:val="2"/>
        </w:numPr>
        <w:rPr>
          <w:highlight w:val="none"/>
        </w:rPr>
      </w:pPr>
      <w:r>
        <w:rPr>
          <w:sz w:val="24"/>
          <w:szCs w:val="24"/>
          <w:highlight w:val="none"/>
        </w:rPr>
        <w:t xml:space="preserve"> 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Расписание Соревнования:</w:t>
      </w:r>
      <w:r>
        <w:rPr>
          <w:highlight w:val="none"/>
        </w:rPr>
      </w:r>
      <w:r/>
    </w:p>
    <w:p>
      <w:pPr>
        <w:pStyle w:val="840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- 9:00 — 10:00 регистрация участников</w:t>
      </w: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;</w:t>
      </w:r>
      <w:r>
        <w:rPr>
          <w:highlight w:val="none"/>
        </w:rPr>
      </w:r>
      <w:r/>
    </w:p>
    <w:p>
      <w:pPr>
        <w:pStyle w:val="840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- 10:00-11:00 изучение трассы;</w:t>
      </w:r>
      <w:r>
        <w:rPr>
          <w:highlight w:val="none"/>
        </w:rPr>
      </w:r>
      <w:r/>
    </w:p>
    <w:p>
      <w:pPr>
        <w:pStyle w:val="840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- 11:00-15:00 первая серия заездов</w:t>
      </w:r>
      <w:r>
        <w:rPr>
          <w:highlight w:val="none"/>
        </w:rPr>
      </w:r>
      <w:r/>
    </w:p>
    <w:p>
      <w:pPr>
        <w:pStyle w:val="840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- 15:00-15:30 перерыв;</w:t>
      </w:r>
      <w:r>
        <w:rPr>
          <w:highlight w:val="none"/>
        </w:rPr>
      </w:r>
      <w:r/>
    </w:p>
    <w:p>
      <w:pPr>
        <w:pStyle w:val="840"/>
        <w:numPr>
          <w:ilvl w:val="0"/>
          <w:numId w:val="0"/>
        </w:numPr>
        <w:ind w:left="360" w:firstLine="0"/>
        <w:jc w:val="left"/>
        <w:rPr>
          <w:rFonts w:ascii="Liberation Serif" w:hAnsi="Liberation Serif" w:cs="Liberation Serif"/>
          <w:sz w:val="24"/>
          <w:szCs w:val="24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- 15:30-19:30 вторая серия заездов;</w:t>
      </w:r>
      <w:r>
        <w:rPr>
          <w:highlight w:val="none"/>
        </w:rPr>
      </w:r>
      <w:r/>
    </w:p>
    <w:p>
      <w:pPr>
        <w:pStyle w:val="840"/>
        <w:numPr>
          <w:ilvl w:val="0"/>
          <w:numId w:val="0"/>
        </w:numPr>
        <w:ind w:left="360" w:firstLine="0"/>
        <w:jc w:val="left"/>
        <w:rPr>
          <w:rFonts w:eastAsiaTheme="minorHAnsi"/>
          <w:highlight w:val="none"/>
        </w:rPr>
      </w:pPr>
      <w:r>
        <w:rPr>
          <w:rFonts w:ascii="Liberation Serif" w:hAnsi="Liberation Serif" w:cs="Liberation Serif"/>
          <w:sz w:val="24"/>
          <w:szCs w:val="24"/>
          <w:highlight w:val="none"/>
        </w:rPr>
        <w:t xml:space="preserve">- 19:30-20:00 подведение итогов, награждение;</w:t>
      </w:r>
      <w:r>
        <w:rPr>
          <w:highlight w:val="none"/>
        </w:rPr>
      </w:r>
      <w:r/>
    </w:p>
    <w:p>
      <w:pPr>
        <w:pStyle w:val="836"/>
        <w:numPr>
          <w:ilvl w:val="0"/>
          <w:numId w:val="0"/>
        </w:numPr>
        <w:ind w:left="1512" w:firstLine="0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highlight w:val="none"/>
        </w:rPr>
      </w:r>
      <w:r/>
    </w:p>
    <w:p>
      <w:pPr>
        <w:pStyle w:val="836"/>
        <w:ind w:left="72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  <w:ind w:firstLine="36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Руководство и организация</w:t>
      </w:r>
      <w:r/>
    </w:p>
    <w:p>
      <w:pPr>
        <w:pStyle w:val="824"/>
      </w:pPr>
      <w:r/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в соответствии с действующим Спортивным кодексом, Правилами соревнований (мотоджимхана) и Положением о Межрегиональных и Всероссийских официальных спортивных соревнованиях по мотоциклетному спорту.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Организационно-методическое руководство и контроль проведения соревнований осуществляет </w:t>
      </w:r>
      <w:r>
        <w:rPr>
          <w:rFonts w:eastAsia="Calibri" w:cs="Times New Roman"/>
          <w:sz w:val="24"/>
          <w:szCs w:val="24"/>
          <w:lang w:eastAsia="ar-SA"/>
        </w:rPr>
        <w:t xml:space="preserve">команда «Мотоджимхана Екатеринбург Team»</w:t>
      </w:r>
      <w:r>
        <w:rPr>
          <w:sz w:val="24"/>
          <w:szCs w:val="24"/>
        </w:rPr>
        <w:t xml:space="preserve">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Ответственность за непосредственную подготовку, проведение и финансирование соревнований возлагается на организатора.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Судейство соревнований осуществляется судейской коллегией, назначенной судейской коллегией </w:t>
      </w:r>
      <w:r>
        <w:rPr>
          <w:rFonts w:eastAsia="Calibri" w:cs="Times New Roman"/>
          <w:sz w:val="24"/>
          <w:szCs w:val="24"/>
          <w:lang w:eastAsia="ar-SA"/>
        </w:rPr>
        <w:t xml:space="preserve">«Мотоджимхана Екатеринбург Team»</w:t>
      </w:r>
      <w:r>
        <w:rPr>
          <w:sz w:val="24"/>
          <w:szCs w:val="24"/>
        </w:rPr>
        <w:t xml:space="preserve"> в установленном порядке.</w:t>
      </w:r>
      <w:r/>
    </w:p>
    <w:p>
      <w:pPr>
        <w:pStyle w:val="824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Участники соревнований</w:t>
      </w:r>
      <w:r/>
    </w:p>
    <w:p>
      <w:pPr>
        <w:pStyle w:val="824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К участию в Соревновании допускаются водители не моложе 18 лет, имеющие водительское удостоверение категории «А1» и/или «А». Данный документ предъявляется при подтверждении регистрации.</w:t>
      </w:r>
      <w:r/>
    </w:p>
    <w:p>
      <w:pPr>
        <w:pStyle w:val="836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Необходимые документы (предоставляются оригиналы) для допуска спортсмена к участию в соревнованиях:</w:t>
      </w:r>
      <w:r/>
    </w:p>
    <w:p>
      <w:pPr>
        <w:pStyle w:val="832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именная заявка на участие в соревнованиях (в электронном виде на сайте </w:t>
      </w:r>
      <w:hyperlink r:id="rId9" w:tooltip="https://gymkhana-cup.ru/" w:history="1">
        <w:r>
          <w:rPr>
            <w:sz w:val="24"/>
            <w:szCs w:val="24"/>
          </w:rPr>
          <w:t xml:space="preserve">https://gymkhana-cup.ru</w:t>
        </w:r>
      </w:hyperlink>
      <w:r>
        <w:rPr>
          <w:sz w:val="24"/>
          <w:szCs w:val="24"/>
        </w:rPr>
        <w:t xml:space="preserve">);</w:t>
      </w:r>
      <w:r/>
    </w:p>
    <w:p>
      <w:pPr>
        <w:pStyle w:val="832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водительское удостоверение категории А, А1;</w:t>
      </w:r>
      <w:r/>
    </w:p>
    <w:p>
      <w:pPr>
        <w:pStyle w:val="836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документ, удостоверяющий личность спортсмена;</w:t>
      </w:r>
      <w:r/>
    </w:p>
    <w:p>
      <w:pPr>
        <w:pStyle w:val="836"/>
        <w:numPr>
          <w:ilvl w:val="0"/>
          <w:numId w:val="3"/>
        </w:numPr>
        <w:rPr>
          <w:rFonts w:eastAsiaTheme="minorHAnsi"/>
          <w:highlight w:val="none"/>
        </w:rPr>
      </w:pPr>
      <w:r>
        <w:rPr>
          <w:rFonts w:eastAsia="Calibri" w:eastAsiaTheme="minorHAnsi"/>
          <w:sz w:val="24"/>
          <w:szCs w:val="24"/>
          <w:highlight w:val="none"/>
        </w:rPr>
        <w:t xml:space="preserve">отметку</w:t>
      </w:r>
      <w:r>
        <w:rPr>
          <w:rFonts w:eastAsia="Calibri" w:eastAsiaTheme="minorHAnsi"/>
          <w:sz w:val="24"/>
          <w:szCs w:val="24"/>
          <w:highlight w:val="none"/>
        </w:rPr>
        <w:t xml:space="preserve"> о проверке ТС техническим комиссаром;</w:t>
      </w:r>
      <w:r>
        <w:rPr>
          <w:highlight w:val="none"/>
        </w:rPr>
      </w:r>
      <w:r/>
    </w:p>
    <w:p>
      <w:pPr>
        <w:pStyle w:val="836"/>
        <w:numPr>
          <w:ilvl w:val="0"/>
          <w:numId w:val="0"/>
        </w:numPr>
        <w:ind w:left="223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rFonts w:ascii="Liberation Serif" w:hAnsi="Liberation Serif" w:cs="Liberation Serif"/>
          <w:sz w:val="24"/>
          <w:szCs w:val="24"/>
        </w:rPr>
        <w:t xml:space="preserve">Участник соревнований может выступать </w:t>
      </w:r>
      <w:r>
        <w:rPr>
          <w:rFonts w:ascii="Liberation Serif" w:hAnsi="Liberation Serif" w:eastAsia="Calibri" w:cs="Times New Roman"/>
          <w:sz w:val="24"/>
          <w:szCs w:val="24"/>
          <w:lang w:eastAsia="ar-SA"/>
        </w:rPr>
        <w:t xml:space="preserve">только</w:t>
      </w:r>
      <w:r>
        <w:rPr>
          <w:rFonts w:ascii="Liberation Serif" w:hAnsi="Liberation Serif" w:cs="Liberation Serif"/>
          <w:sz w:val="24"/>
          <w:szCs w:val="24"/>
        </w:rPr>
        <w:t xml:space="preserve"> в одном классе и не более чем на одном мотоцикле.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Кроме зачёта в общем сост</w:t>
      </w:r>
      <w:r>
        <w:rPr>
          <w:rFonts w:ascii="Liberation Serif" w:hAnsi="Liberation Serif" w:cs="Liberation Serif"/>
          <w:sz w:val="24"/>
          <w:szCs w:val="24"/>
        </w:rPr>
        <w:t xml:space="preserve">аве, допускается зачёт результатов участников в любом количестве номинаций Соревнования, в том случае, если данный участник и его ТС в полном объёме соответствуют требованиям к одной или нескольким номинациям.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При регистрации каждый участник должен уплатить организатору с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 xml:space="preserve">тартовый</w:t>
      </w:r>
      <w:r>
        <w:rPr>
          <w:sz w:val="24"/>
          <w:szCs w:val="24"/>
        </w:rPr>
        <w:t xml:space="preserve"> </w:t>
      </w:r>
      <w:r>
        <w:rPr>
          <w:rFonts w:eastAsia="Calibri" w:cs="Times New Roman" w:eastAsiaTheme="minorHAnsi"/>
          <w:color w:val="auto"/>
          <w:sz w:val="24"/>
          <w:szCs w:val="24"/>
          <w:lang w:val="ru-RU" w:eastAsia="ar-SA" w:bidi="ar-SA"/>
        </w:rPr>
        <w:t xml:space="preserve">взнос</w:t>
      </w:r>
      <w:r>
        <w:rPr>
          <w:sz w:val="24"/>
          <w:szCs w:val="24"/>
        </w:rPr>
        <w:t xml:space="preserve"> в размере 1500 рублей. </w:t>
      </w:r>
      <w:r>
        <w:rPr>
          <w:rFonts w:ascii="Liberation Serif" w:hAnsi="Liberation Serif" w:cs="Liberation Serif"/>
          <w:sz w:val="24"/>
          <w:szCs w:val="24"/>
        </w:rPr>
        <w:t xml:space="preserve">Стартовый взнос возвращается участнику в случае отклонения заявки на участие не по его вине, а также в случае, если Соревнование не состоится.</w:t>
      </w:r>
      <w:r/>
    </w:p>
    <w:p>
      <w:pPr>
        <w:pStyle w:val="836"/>
        <w:numPr>
          <w:ilvl w:val="0"/>
          <w:numId w:val="0"/>
        </w:numPr>
        <w:ind w:left="151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24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rFonts w:eastAsia="Calibri" w:cs="Times New Roman" w:eastAsiaTheme="minorHAnsi"/>
          <w:b/>
          <w:color w:val="auto"/>
          <w:sz w:val="24"/>
          <w:szCs w:val="24"/>
          <w:lang w:val="ru-RU" w:eastAsia="ar-SA" w:bidi="ar-SA"/>
        </w:rPr>
        <w:t xml:space="preserve">Требования к ТС</w:t>
      </w:r>
      <w:r/>
    </w:p>
    <w:p>
      <w:pPr>
        <w:pStyle w:val="824"/>
      </w:pPr>
      <w:r/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ТС в исправном состоянии, без видимых подтеков технических жидкостей с надежно закрепленной аккумуляторной батареей.</w:t>
      </w:r>
      <w:r/>
    </w:p>
    <w:p>
      <w:pPr>
        <w:pStyle w:val="836"/>
        <w:numPr>
          <w:ilvl w:val="1"/>
          <w:numId w:val="2"/>
        </w:numPr>
        <w:rPr>
          <w:rFonts w:ascii="Liberation Serif" w:hAnsi="Liberation Serif" w:cs="Liberation Serif"/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Минимальный остаток протектора покрышек должен соответствовать «Основным положениям по допуску транспортных средств к эксплуатации и обязанностям должностных лиц по обеспечению безопасности дорожного движения». 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</w:r>
      <w:r>
        <w:rPr>
          <w:rFonts w:ascii="Liberation Serif" w:hAnsi="Liberation Serif" w:cs="Liberation Serif"/>
          <w:sz w:val="24"/>
          <w:szCs w:val="24"/>
        </w:rPr>
        <w:t xml:space="preserve">Д</w:t>
      </w:r>
      <w:r>
        <w:rPr>
          <w:rFonts w:ascii="Liberation Serif" w:hAnsi="Liberation Serif" w:cs="Liberation Serif"/>
          <w:sz w:val="24"/>
          <w:szCs w:val="24"/>
        </w:rPr>
        <w:t xml:space="preserve">опускается использование покры</w:t>
      </w:r>
      <w:r>
        <w:rPr>
          <w:rFonts w:ascii="Liberation Serif" w:hAnsi="Liberation Serif" w:cs="Liberation Serif"/>
          <w:sz w:val="24"/>
          <w:szCs w:val="24"/>
        </w:rPr>
        <w:t xml:space="preserve">шек типа «слик». Организаторы соревнований не предоставляют возможность подключения «грелок»к электросетям. Участник обязан позаботиться об этом самостоятельно. Подключение должно быть выполнено с соблюдением всех норм и правил безопасности и правопорядка.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ТС должно быть зарегистрировано в установленном порядке. На заявленное ТС, каждый участник должен иметь действующий на время проведения соревнований полис обязательного страхо</w:t>
      </w:r>
      <w:r>
        <w:rPr>
          <w:rFonts w:ascii="Liberation Serif" w:hAnsi="Liberation Serif" w:cs="Liberation Serif"/>
          <w:sz w:val="24"/>
          <w:szCs w:val="24"/>
        </w:rPr>
        <w:t xml:space="preserve">вания автогражданской ответственности (ОСАГО). В котором должны быть указаны все лица (если полис не является неограниченным), участвующие в соревновании на данном мотоцикле. ТС, являющиеся спортивным инвентарём, должны иметь паспорт спортивного мотоцикла.</w:t>
      </w:r>
      <w:r/>
    </w:p>
    <w:p>
      <w:pPr>
        <w:pStyle w:val="836"/>
        <w:numPr>
          <w:ilvl w:val="1"/>
          <w:numId w:val="2"/>
        </w:numPr>
        <w:rPr>
          <w:rFonts w:ascii="Liberation Serif" w:hAnsi="Liberation Serif" w:cs="Liberation Serif" w:eastAsiaTheme="minorHAnsi"/>
          <w:color w:val="auto"/>
          <w:sz w:val="24"/>
          <w:szCs w:val="24"/>
          <w:lang w:val="ru-RU" w:eastAsia="ar-SA" w:bidi="ar-SA"/>
        </w:rPr>
      </w:pPr>
      <w:r>
        <w:rPr>
          <w:rFonts w:ascii="Liberation Serif" w:hAnsi="Liberation Serif" w:eastAsia="Calibri" w:cs="Liberation Serif" w:eastAsiaTheme="minorHAnsi"/>
          <w:color w:val="auto"/>
          <w:sz w:val="24"/>
          <w:szCs w:val="24"/>
          <w:lang w:val="ru-RU" w:eastAsia="ar-SA" w:bidi="ar-SA"/>
        </w:rPr>
        <w:t xml:space="preserve">Мотоциклы с регулировкой оборотов ХХ отличной от заводской, должны быть оборудованы устройством аварийной остановки двигателя, в случае отделения водителя от мотоцикла.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На ТС должен быть наклеен стартовый номер участника. Место расположения стартового номера на ТС объявляется при регистрации. Стартовый номер должен сохраняться на мотоцикле в течение всего Соревнования.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К участию допускаются только ТС категории А1 и А (в отдельных случаях ТС, являющиеся спортивным инвентарём и имеющие соответствующий паспорт) с объёмом двигателя более 100 см3.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Участникам разрешается снять с мотоциклов зеркала заднего вида, кофры, фару головного света и указатели поворота.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rFonts w:ascii="Liberation Serif" w:hAnsi="Liberation Serif" w:cs="Liberation Serif"/>
          <w:sz w:val="24"/>
          <w:szCs w:val="24"/>
        </w:rPr>
        <w:t xml:space="preserve">Организаторы не несут ответственности за легальность техники, участвующей в Соревновании.</w:t>
      </w:r>
      <w:r/>
    </w:p>
    <w:p>
      <w:pPr>
        <w:pStyle w:val="836"/>
        <w:ind w:left="720" w:firstLine="0"/>
      </w:pPr>
      <w:r/>
      <w:r/>
    </w:p>
    <w:p>
      <w:pPr>
        <w:pStyle w:val="836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Классификация</w:t>
      </w:r>
      <w:r/>
    </w:p>
    <w:p>
      <w:pPr>
        <w:pStyle w:val="836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Участники подразделяются на классы следующим образом:</w:t>
      </w:r>
      <w:r/>
    </w:p>
    <w:p>
      <w:pPr>
        <w:pStyle w:val="836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Класс Новички (N — D4)</w:t>
      </w:r>
      <w:r/>
    </w:p>
    <w:p>
      <w:pPr>
        <w:pStyle w:val="836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Любители (D3 — D2)</w:t>
      </w:r>
      <w:r/>
    </w:p>
    <w:p>
      <w:pPr>
        <w:pStyle w:val="836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Спортсмены (D1 — C3)</w:t>
      </w:r>
      <w:r/>
    </w:p>
    <w:p>
      <w:pPr>
        <w:pStyle w:val="836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ПРО (С2 — С1)</w:t>
      </w:r>
      <w:r/>
    </w:p>
    <w:p>
      <w:pPr>
        <w:pStyle w:val="836"/>
        <w:numPr>
          <w:ilvl w:val="0"/>
          <w:numId w:val="9"/>
        </w:numPr>
        <w:rPr>
          <w:rFonts w:ascii="Times New Roman" w:hAnsi="Times New Roman" w:eastAsia="Calibri" w:cs="Times New Roman"/>
          <w:sz w:val="24"/>
          <w:szCs w:val="24"/>
          <w:lang w:eastAsia="ar-SA"/>
        </w:rPr>
      </w:pPr>
      <w:r>
        <w:rPr>
          <w:rFonts w:eastAsia="Calibri" w:cs="Times New Roman"/>
          <w:sz w:val="24"/>
          <w:szCs w:val="24"/>
          <w:lang w:eastAsia="ar-SA"/>
        </w:rPr>
        <w:t xml:space="preserve">Круизеры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Решение технической комиссии о присвоении того или иного класса обжалованию не подлежит.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Класс считается состоявшимся, если в нем участвует не менее 4х участников.</w:t>
      </w:r>
      <w:r/>
    </w:p>
    <w:p>
      <w:pPr>
        <w:pStyle w:val="836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Условия проведения соревнований</w:t>
      </w:r>
      <w:r/>
    </w:p>
    <w:p>
      <w:pPr>
        <w:pStyle w:val="836"/>
        <w:ind w:left="360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Соревнования проводятся на личное первенство в два заезда на каждом этапе для каждого класса мотоциклов.</w:t>
      </w:r>
      <w:r/>
    </w:p>
    <w:p>
      <w:pPr>
        <w:pStyle w:val="836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Изменение стартовых номеров и/или выступление под одним номером разных участников ЗАПРЕЩЕНО.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Выход на старт первого заезда производится в порядке определенном стартовой таблицей и по приглашению судьи.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 случае неявки участника на старт в течение 2х минут, участнику присуждается дисквалификация в заезде.</w:t>
      </w:r>
      <w:r>
        <w:rPr>
          <w:sz w:val="24"/>
          <w:szCs w:val="24"/>
          <w:highlight w:val="none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  <w:highlight w:val="none"/>
        </w:rPr>
        <w:t xml:space="preserve">Во время заезда запрещены подсказки участнику со стороны зрителей, других участников и пр. Запрещено использование любых гарнитур связи. За нарушение участнику присуждается дисквалификация в заезде.</w:t>
      </w:r>
      <w:r>
        <w:rPr>
          <w:sz w:val="24"/>
          <w:szCs w:val="24"/>
          <w:highlight w:val="none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Порядок заездов: </w:t>
      </w:r>
      <w:r/>
    </w:p>
    <w:p>
      <w:pPr>
        <w:pStyle w:val="836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Первый заезд все классы.</w:t>
      </w:r>
      <w:r>
        <w:rPr>
          <w:rFonts w:eastAsiaTheme="minorHAnsi"/>
          <w:sz w:val="24"/>
          <w:szCs w:val="24"/>
          <w:highlight w:val="yellow"/>
        </w:rPr>
      </w:r>
      <w:r/>
    </w:p>
    <w:p>
      <w:pPr>
        <w:pStyle w:val="836"/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Второй заезд все классы.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За 10 минут до старта каждого заезда мотоциклы должны быть в предстартовом парке.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Размер залога, вносимого при подаче протеста – 5000 руб.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 день соревнований, тренировки на трассе, на которой проходят соревнования, не проводятся. Разрешено изучение трассы пешком в установленное время. При наличии тренировочной трассы, разрешается по 2 заезда по ней.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Распорядок проведения соревнований является </w:t>
      </w:r>
      <w:r>
        <w:rPr>
          <w:rFonts w:eastAsia="Calibri" w:cs="Times New Roman"/>
          <w:sz w:val="24"/>
          <w:szCs w:val="24"/>
          <w:lang w:eastAsia="ar-SA"/>
        </w:rPr>
        <w:t xml:space="preserve">ориентировочным</w:t>
      </w:r>
      <w:r>
        <w:rPr>
          <w:sz w:val="24"/>
          <w:szCs w:val="24"/>
        </w:rPr>
        <w:t xml:space="preserve">. Уточненное расписание вывешивается на соревнованиях на доску информации.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Штрафные баллы и их обозначение судьями на трассе:</w:t>
      </w:r>
      <w:r/>
    </w:p>
    <w:p>
      <w:pPr>
        <w:pStyle w:val="836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+ 1 сек. (желтый флаг):</w:t>
      </w:r>
      <w:r/>
    </w:p>
    <w:p>
      <w:pPr>
        <w:pStyle w:val="836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касание ограждений и элементов трассы;</w:t>
      </w:r>
      <w:r/>
    </w:p>
    <w:p>
      <w:pPr>
        <w:pStyle w:val="836"/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коснуться ногой (кроме остановки в воротах старт-финиш).</w:t>
      </w:r>
      <w:r/>
    </w:p>
    <w:p>
      <w:pPr>
        <w:pStyle w:val="836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+ 3 сек. (красный флаг):</w:t>
      </w:r>
      <w:r/>
    </w:p>
    <w:p>
      <w:pPr>
        <w:pStyle w:val="836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границу трассы;</w:t>
      </w:r>
      <w:r/>
    </w:p>
    <w:p>
      <w:pPr>
        <w:pStyle w:val="836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невыполнение проезда по линии в элементе типа "Зеркало" (два конуса с полосой разметки между ними);</w:t>
      </w:r>
      <w:r/>
    </w:p>
    <w:p>
      <w:pPr>
        <w:pStyle w:val="836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снять ногу с подножки и перебирать ногой / касание ногой земли для выполнения разворота;</w:t>
      </w:r>
      <w:r/>
    </w:p>
    <w:p>
      <w:pPr>
        <w:pStyle w:val="836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выезд за габариты ворот старт-финиш (переднее колесо ТС находится вне линий ворот старт-финиш);</w:t>
      </w:r>
      <w:r/>
    </w:p>
    <w:p>
      <w:pPr>
        <w:pStyle w:val="836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неполный въезд ТС в ворота старт-финиш (заднее колесо ТС находится вне линий ворот старт-финиш);</w:t>
      </w:r>
      <w:r/>
    </w:p>
    <w:p>
      <w:pPr>
        <w:pStyle w:val="836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участник или ТС находятся за пределами ворот старт-финиш.</w:t>
      </w:r>
      <w:r/>
    </w:p>
    <w:p>
      <w:pPr>
        <w:pStyle w:val="836"/>
        <w:ind w:left="792" w:firstLine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Незачет попытки (оба флага одновременно):</w:t>
      </w:r>
      <w:r/>
    </w:p>
    <w:p>
      <w:pPr>
        <w:pStyle w:val="836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пропуск элемента трассы (допускается вернуться и проехать элементы в правильной последовательности);</w:t>
      </w:r>
      <w:r/>
    </w:p>
    <w:p>
      <w:pPr>
        <w:pStyle w:val="836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конуса не с той стороны (допускается вернутся и проехать элемент правильно);</w:t>
      </w:r>
      <w:r/>
    </w:p>
    <w:p>
      <w:pPr>
        <w:pStyle w:val="836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несоблюдение маршрута движения по трассе;</w:t>
      </w:r>
      <w:r/>
    </w:p>
    <w:p>
      <w:pPr>
        <w:pStyle w:val="836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 xml:space="preserve">проезд ворот старт-финиш без остановки.</w:t>
      </w:r>
      <w:r/>
    </w:p>
    <w:p>
      <w:pPr>
        <w:pStyle w:val="836"/>
        <w:ind w:left="792" w:firstLine="0"/>
        <w:rPr>
          <w:sz w:val="24"/>
          <w:szCs w:val="24"/>
        </w:rPr>
      </w:pPr>
      <w:r>
        <w:rPr>
          <w:sz w:val="24"/>
          <w:szCs w:val="24"/>
        </w:rPr>
        <w:t xml:space="preserve">Штрафов за падение не предусмотрено. Участник может поднять мотоцикл и продолжить заезд.</w:t>
      </w:r>
      <w:r/>
    </w:p>
    <w:p>
      <w:pPr>
        <w:pStyle w:val="836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Определение результатов</w:t>
      </w:r>
      <w:r/>
    </w:p>
    <w:p>
      <w:pPr>
        <w:pStyle w:val="836"/>
        <w:ind w:left="360" w:firstLine="0"/>
        <w:rPr>
          <w:b/>
          <w:sz w:val="24"/>
          <w:szCs w:val="24"/>
        </w:rPr>
      </w:pPr>
      <w:r>
        <w:rPr>
          <w:b/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Все гонщики, участвующие в заезде, классифицируются по времени прохождения трассы.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Личное первенство по итогам этапа определяется по наилучшему времени трассы в рамках класса.</w:t>
      </w:r>
      <w:r/>
    </w:p>
    <w:p>
      <w:pPr>
        <w:pStyle w:val="836"/>
        <w:numPr>
          <w:ilvl w:val="0"/>
          <w:numId w:val="0"/>
        </w:numPr>
        <w:ind w:left="792" w:firstLine="0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9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/>
    </w:p>
    <w:p>
      <w:pPr>
        <w:pStyle w:val="839"/>
        <w:jc w:val="both"/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val="ru-RU" w:eastAsia="ru-RU"/>
        </w:rPr>
      </w:r>
      <w:r/>
    </w:p>
    <w:p>
      <w:pPr>
        <w:pStyle w:val="836"/>
        <w:numPr>
          <w:ilvl w:val="0"/>
          <w:numId w:val="2"/>
        </w:num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Награждение</w:t>
      </w:r>
      <w:r/>
    </w:p>
    <w:p>
      <w:pPr>
        <w:pStyle w:val="824"/>
        <w:rPr>
          <w:sz w:val="24"/>
          <w:szCs w:val="24"/>
        </w:rPr>
      </w:pPr>
      <w:r>
        <w:rPr>
          <w:sz w:val="24"/>
          <w:szCs w:val="24"/>
        </w:rPr>
      </w:r>
      <w:r/>
    </w:p>
    <w:p>
      <w:pPr>
        <w:pStyle w:val="836"/>
        <w:numPr>
          <w:ilvl w:val="1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Гонщики, занявшие в классе по итогам этапа места с 1 по 3 награждаются грамотами, медалями, а также денежными или ценными призами. </w:t>
      </w:r>
      <w:r/>
    </w:p>
    <w:p>
      <w:pPr>
        <w:pStyle w:val="836"/>
        <w:numPr>
          <w:ilvl w:val="1"/>
          <w:numId w:val="2"/>
        </w:numPr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Д</w:t>
      </w:r>
      <w:r>
        <w:rPr>
          <w:rFonts w:eastAsiaTheme="minorHAnsi"/>
          <w:sz w:val="24"/>
          <w:szCs w:val="24"/>
          <w:highlight w:val="none"/>
        </w:rPr>
        <w:t xml:space="preserve">ополнительно грамотами могут быть награждены:</w:t>
      </w:r>
      <w:r>
        <w:rPr>
          <w:highlight w:val="none"/>
        </w:rPr>
      </w:r>
      <w:r/>
    </w:p>
    <w:p>
      <w:pPr>
        <w:pStyle w:val="836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Самая быстрая девушка на этапе</w:t>
      </w:r>
      <w:r>
        <w:rPr>
          <w:highlight w:val="none"/>
        </w:rPr>
      </w:r>
      <w:r/>
    </w:p>
    <w:p>
      <w:pPr>
        <w:pStyle w:val="836"/>
        <w:numPr>
          <w:ilvl w:val="0"/>
          <w:numId w:val="8"/>
        </w:numPr>
        <w:rPr>
          <w:rFonts w:eastAsiaTheme="minorHAnsi"/>
          <w:highlight w:val="none"/>
        </w:rPr>
      </w:pPr>
      <w:r>
        <w:rPr>
          <w:rFonts w:eastAsiaTheme="minorHAnsi"/>
          <w:sz w:val="24"/>
          <w:szCs w:val="24"/>
          <w:highlight w:val="none"/>
        </w:rPr>
        <w:t xml:space="preserve">Грамотой «за волю к победе» участник, справившийся с возникшими на этапе трудностями (например, большое количество падений, серьезная техническая неисправность и пр.) и успешно финишировавший хотя бы в одном из заездов.</w:t>
      </w:r>
      <w:r>
        <w:rPr>
          <w:highlight w:val="none"/>
        </w:rPr>
      </w:r>
      <w:r/>
    </w:p>
    <w:p>
      <w:pPr>
        <w:pStyle w:val="824"/>
        <w:rPr>
          <w:rFonts w:eastAsiaTheme="minorHAnsi"/>
          <w:highlight w:val="yellow"/>
        </w:rPr>
      </w:pPr>
      <w:r>
        <w:rPr>
          <w:rFonts w:eastAsiaTheme="minorHAnsi"/>
          <w:highlight w:val="yellow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0" w:footer="0" w:gutter="0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noto sans cjk sc">
    <w:panose1 w:val="05040102010807070707"/>
  </w:font>
  <w:font w:name="Courier New">
    <w:panose1 w:val="02070409020205020404"/>
  </w:font>
  <w:font w:name="Lohit Devanagari">
    <w:panose1 w:val="020B0600000000000000"/>
  </w:font>
  <w:font w:name="Wingdings">
    <w:panose1 w:val="05010000000000000000"/>
  </w:font>
  <w:font w:name="Liberation Sans">
    <w:panose1 w:val="020B0604020202020204"/>
  </w:font>
  <w:font w:name="DejaVu Sans">
    <w:panose1 w:val="020B0603030804020204"/>
  </w:font>
  <w:font w:name="noto sans arabic ui">
    <w:panose1 w:val="05040102010807070707"/>
  </w:font>
  <w:font w:name="Liberation Serif">
    <w:panose1 w:val="02020603050405020304"/>
  </w:font>
  <w:font w:name="Liberation Mono">
    <w:panose1 w:val="020704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206030504050203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pStyle w:val="825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2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3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none"/>
      <w:isLgl w:val="false"/>
      <w:suff w:val="nothing"/>
      <w:lvlText w:val=""/>
      <w:lvlJc w:val="left"/>
      <w:pPr>
        <w:ind w:left="0" w:firstLine="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  <w:tabs>
          <w:tab w:val="num" w:pos="0" w:leader="none"/>
        </w:tabs>
      </w:pPr>
    </w:lvl>
    <w:lvl w:ilvl="1">
      <w:start w:val="1"/>
      <w:numFmt w:val="decimal"/>
      <w:isLgl w:val="false"/>
      <w:suff w:val="tab"/>
      <w:lvlText w:val="%1.%2."/>
      <w:lvlJc w:val="left"/>
      <w:pPr>
        <w:ind w:left="792" w:hanging="432"/>
        <w:tabs>
          <w:tab w:val="num" w:pos="0" w:leader="none"/>
        </w:tabs>
      </w:pPr>
      <w:rPr>
        <w:sz w:val="24"/>
        <w:szCs w:val="24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224" w:hanging="504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1.%2.%3.%4."/>
      <w:lvlJc w:val="left"/>
      <w:pPr>
        <w:ind w:left="1728" w:hanging="648"/>
        <w:tabs>
          <w:tab w:val="num" w:pos="0" w:leader="none"/>
        </w:tabs>
      </w:pPr>
    </w:lvl>
    <w:lvl w:ilvl="4">
      <w:start w:val="1"/>
      <w:numFmt w:val="decimal"/>
      <w:isLgl w:val="false"/>
      <w:suff w:val="tab"/>
      <w:lvlText w:val="%1.%2.%3.%4.%5."/>
      <w:lvlJc w:val="left"/>
      <w:pPr>
        <w:ind w:left="2232" w:hanging="792"/>
        <w:tabs>
          <w:tab w:val="num" w:pos="0" w:leader="none"/>
        </w:tabs>
      </w:pPr>
    </w:lvl>
    <w:lvl w:ilvl="5">
      <w:start w:val="1"/>
      <w:numFmt w:val="decimal"/>
      <w:isLgl w:val="false"/>
      <w:suff w:val="tab"/>
      <w:lvlText w:val="%1.%2.%3.%4.%5.%6."/>
      <w:lvlJc w:val="left"/>
      <w:pPr>
        <w:ind w:left="2736" w:hanging="936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  <w:tabs>
          <w:tab w:val="num" w:pos="0" w:leader="none"/>
        </w:tabs>
      </w:p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744" w:hanging="1224"/>
        <w:tabs>
          <w:tab w:val="num" w:pos="0" w:leader="none"/>
        </w:tabs>
      </w:p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  <w:tabs>
          <w:tab w:val="num" w:pos="0" w:leader="none"/>
        </w:tabs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512" w:hanging="360"/>
        <w:tabs>
          <w:tab w:val="num" w:pos="0" w:leader="none"/>
        </w:tabs>
      </w:pPr>
      <w:rPr>
        <w:rFonts w:hint="default"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3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95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72" w:hanging="360"/>
        <w:tabs>
          <w:tab w:val="num" w:pos="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9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12" w:hanging="360"/>
        <w:tabs>
          <w:tab w:val="num" w:pos="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32" w:hanging="360"/>
        <w:tabs>
          <w:tab w:val="num" w:pos="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552" w:hanging="360"/>
        <w:tabs>
          <w:tab w:val="num" w:pos="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72" w:hanging="360"/>
        <w:tabs>
          <w:tab w:val="num" w:pos="0" w:leader="none"/>
        </w:tabs>
      </w:pPr>
      <w:rPr>
        <w:rFonts w:hint="default" w:ascii="Wingdings" w:hAnsi="Wingdings" w:cs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3">
    <w:name w:val="Heading 1 Char"/>
    <w:basedOn w:val="826"/>
    <w:link w:val="825"/>
    <w:uiPriority w:val="9"/>
    <w:rPr>
      <w:rFonts w:ascii="Arial" w:hAnsi="Arial" w:eastAsia="Arial" w:cs="Arial"/>
      <w:sz w:val="40"/>
      <w:szCs w:val="40"/>
    </w:rPr>
  </w:style>
  <w:style w:type="paragraph" w:styleId="654">
    <w:name w:val="Heading 2"/>
    <w:basedOn w:val="824"/>
    <w:next w:val="824"/>
    <w:link w:val="65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5">
    <w:name w:val="Heading 2 Char"/>
    <w:basedOn w:val="826"/>
    <w:link w:val="654"/>
    <w:uiPriority w:val="9"/>
    <w:rPr>
      <w:rFonts w:ascii="Arial" w:hAnsi="Arial" w:eastAsia="Arial" w:cs="Arial"/>
      <w:sz w:val="34"/>
    </w:rPr>
  </w:style>
  <w:style w:type="paragraph" w:styleId="656">
    <w:name w:val="Heading 3"/>
    <w:basedOn w:val="824"/>
    <w:next w:val="824"/>
    <w:link w:val="65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57">
    <w:name w:val="Heading 3 Char"/>
    <w:basedOn w:val="826"/>
    <w:link w:val="656"/>
    <w:uiPriority w:val="9"/>
    <w:rPr>
      <w:rFonts w:ascii="Arial" w:hAnsi="Arial" w:eastAsia="Arial" w:cs="Arial"/>
      <w:sz w:val="30"/>
      <w:szCs w:val="30"/>
    </w:rPr>
  </w:style>
  <w:style w:type="paragraph" w:styleId="658">
    <w:name w:val="Heading 4"/>
    <w:basedOn w:val="824"/>
    <w:next w:val="824"/>
    <w:link w:val="6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59">
    <w:name w:val="Heading 4 Char"/>
    <w:basedOn w:val="826"/>
    <w:link w:val="658"/>
    <w:uiPriority w:val="9"/>
    <w:rPr>
      <w:rFonts w:ascii="Arial" w:hAnsi="Arial" w:eastAsia="Arial" w:cs="Arial"/>
      <w:b/>
      <w:bCs/>
      <w:sz w:val="26"/>
      <w:szCs w:val="26"/>
    </w:rPr>
  </w:style>
  <w:style w:type="paragraph" w:styleId="660">
    <w:name w:val="Heading 5"/>
    <w:basedOn w:val="824"/>
    <w:next w:val="824"/>
    <w:link w:val="66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1">
    <w:name w:val="Heading 5 Char"/>
    <w:basedOn w:val="826"/>
    <w:link w:val="660"/>
    <w:uiPriority w:val="9"/>
    <w:rPr>
      <w:rFonts w:ascii="Arial" w:hAnsi="Arial" w:eastAsia="Arial" w:cs="Arial"/>
      <w:b/>
      <w:bCs/>
      <w:sz w:val="24"/>
      <w:szCs w:val="24"/>
    </w:rPr>
  </w:style>
  <w:style w:type="paragraph" w:styleId="662">
    <w:name w:val="Heading 6"/>
    <w:basedOn w:val="824"/>
    <w:next w:val="824"/>
    <w:link w:val="66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3">
    <w:name w:val="Heading 6 Char"/>
    <w:basedOn w:val="826"/>
    <w:link w:val="662"/>
    <w:uiPriority w:val="9"/>
    <w:rPr>
      <w:rFonts w:ascii="Arial" w:hAnsi="Arial" w:eastAsia="Arial" w:cs="Arial"/>
      <w:b/>
      <w:bCs/>
      <w:sz w:val="22"/>
      <w:szCs w:val="22"/>
    </w:rPr>
  </w:style>
  <w:style w:type="paragraph" w:styleId="664">
    <w:name w:val="Heading 7"/>
    <w:basedOn w:val="824"/>
    <w:next w:val="824"/>
    <w:link w:val="66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7 Char"/>
    <w:basedOn w:val="826"/>
    <w:link w:val="66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66">
    <w:name w:val="Heading 8"/>
    <w:basedOn w:val="824"/>
    <w:next w:val="824"/>
    <w:link w:val="66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67">
    <w:name w:val="Heading 8 Char"/>
    <w:basedOn w:val="826"/>
    <w:link w:val="666"/>
    <w:uiPriority w:val="9"/>
    <w:rPr>
      <w:rFonts w:ascii="Arial" w:hAnsi="Arial" w:eastAsia="Arial" w:cs="Arial"/>
      <w:i/>
      <w:iCs/>
      <w:sz w:val="22"/>
      <w:szCs w:val="22"/>
    </w:rPr>
  </w:style>
  <w:style w:type="paragraph" w:styleId="668">
    <w:name w:val="Heading 9"/>
    <w:basedOn w:val="824"/>
    <w:next w:val="824"/>
    <w:link w:val="66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69">
    <w:name w:val="Heading 9 Char"/>
    <w:basedOn w:val="826"/>
    <w:link w:val="668"/>
    <w:uiPriority w:val="9"/>
    <w:rPr>
      <w:rFonts w:ascii="Arial" w:hAnsi="Arial" w:eastAsia="Arial" w:cs="Arial"/>
      <w:i/>
      <w:iCs/>
      <w:sz w:val="21"/>
      <w:szCs w:val="21"/>
    </w:rPr>
  </w:style>
  <w:style w:type="paragraph" w:styleId="670">
    <w:name w:val="Title"/>
    <w:basedOn w:val="824"/>
    <w:next w:val="824"/>
    <w:link w:val="67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1">
    <w:name w:val="Title Char"/>
    <w:basedOn w:val="826"/>
    <w:link w:val="670"/>
    <w:uiPriority w:val="10"/>
    <w:rPr>
      <w:sz w:val="48"/>
      <w:szCs w:val="48"/>
    </w:rPr>
  </w:style>
  <w:style w:type="paragraph" w:styleId="672">
    <w:name w:val="Subtitle"/>
    <w:basedOn w:val="824"/>
    <w:next w:val="824"/>
    <w:link w:val="673"/>
    <w:uiPriority w:val="11"/>
    <w:qFormat/>
    <w:pPr>
      <w:spacing w:before="200" w:after="200"/>
    </w:pPr>
    <w:rPr>
      <w:sz w:val="24"/>
      <w:szCs w:val="24"/>
    </w:rPr>
  </w:style>
  <w:style w:type="character" w:styleId="673">
    <w:name w:val="Subtitle Char"/>
    <w:basedOn w:val="826"/>
    <w:link w:val="672"/>
    <w:uiPriority w:val="11"/>
    <w:rPr>
      <w:sz w:val="24"/>
      <w:szCs w:val="24"/>
    </w:rPr>
  </w:style>
  <w:style w:type="paragraph" w:styleId="674">
    <w:name w:val="Quote"/>
    <w:basedOn w:val="824"/>
    <w:next w:val="824"/>
    <w:link w:val="675"/>
    <w:uiPriority w:val="29"/>
    <w:qFormat/>
    <w:pPr>
      <w:ind w:left="720" w:right="720"/>
    </w:pPr>
    <w:rPr>
      <w:i/>
    </w:rPr>
  </w:style>
  <w:style w:type="character" w:styleId="675">
    <w:name w:val="Quote Char"/>
    <w:link w:val="674"/>
    <w:uiPriority w:val="29"/>
    <w:rPr>
      <w:i/>
    </w:rPr>
  </w:style>
  <w:style w:type="paragraph" w:styleId="676">
    <w:name w:val="Intense Quote"/>
    <w:basedOn w:val="824"/>
    <w:next w:val="824"/>
    <w:link w:val="67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7">
    <w:name w:val="Intense Quote Char"/>
    <w:link w:val="676"/>
    <w:uiPriority w:val="30"/>
    <w:rPr>
      <w:i/>
    </w:rPr>
  </w:style>
  <w:style w:type="character" w:styleId="678">
    <w:name w:val="Header Char"/>
    <w:basedOn w:val="826"/>
    <w:link w:val="838"/>
    <w:uiPriority w:val="99"/>
  </w:style>
  <w:style w:type="character" w:styleId="679">
    <w:name w:val="Footer Char"/>
    <w:basedOn w:val="826"/>
    <w:link w:val="841"/>
    <w:uiPriority w:val="99"/>
  </w:style>
  <w:style w:type="character" w:styleId="680">
    <w:name w:val="Caption Char"/>
    <w:basedOn w:val="834"/>
    <w:link w:val="841"/>
    <w:uiPriority w:val="99"/>
  </w:style>
  <w:style w:type="table" w:styleId="681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2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3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4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5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7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3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4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9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0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11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2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3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4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5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6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17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19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20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21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22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3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4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5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6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7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8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9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4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5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6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7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8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9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0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0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1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2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3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4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5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6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7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8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9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80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81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82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83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84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85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6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87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88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89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0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1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2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3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4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795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796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797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798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799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0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01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2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3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4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5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6">
    <w:name w:val="Hyperlink"/>
    <w:uiPriority w:val="99"/>
    <w:unhideWhenUsed/>
    <w:rPr>
      <w:color w:val="0000ff" w:themeColor="hyperlink"/>
      <w:u w:val="single"/>
    </w:rPr>
  </w:style>
  <w:style w:type="paragraph" w:styleId="807">
    <w:name w:val="footnote text"/>
    <w:basedOn w:val="824"/>
    <w:link w:val="808"/>
    <w:uiPriority w:val="99"/>
    <w:semiHidden/>
    <w:unhideWhenUsed/>
    <w:pPr>
      <w:spacing w:after="40" w:line="240" w:lineRule="auto"/>
    </w:pPr>
    <w:rPr>
      <w:sz w:val="18"/>
    </w:rPr>
  </w:style>
  <w:style w:type="character" w:styleId="808">
    <w:name w:val="Footnote Text Char"/>
    <w:link w:val="807"/>
    <w:uiPriority w:val="99"/>
    <w:rPr>
      <w:sz w:val="18"/>
    </w:rPr>
  </w:style>
  <w:style w:type="character" w:styleId="809">
    <w:name w:val="footnote reference"/>
    <w:basedOn w:val="826"/>
    <w:uiPriority w:val="99"/>
    <w:unhideWhenUsed/>
    <w:rPr>
      <w:vertAlign w:val="superscript"/>
    </w:rPr>
  </w:style>
  <w:style w:type="paragraph" w:styleId="810">
    <w:name w:val="endnote text"/>
    <w:basedOn w:val="824"/>
    <w:link w:val="811"/>
    <w:uiPriority w:val="99"/>
    <w:semiHidden/>
    <w:unhideWhenUsed/>
    <w:pPr>
      <w:spacing w:after="0" w:line="240" w:lineRule="auto"/>
    </w:pPr>
    <w:rPr>
      <w:sz w:val="20"/>
    </w:rPr>
  </w:style>
  <w:style w:type="character" w:styleId="811">
    <w:name w:val="Endnote Text Char"/>
    <w:link w:val="810"/>
    <w:uiPriority w:val="99"/>
    <w:rPr>
      <w:sz w:val="20"/>
    </w:rPr>
  </w:style>
  <w:style w:type="character" w:styleId="812">
    <w:name w:val="endnote reference"/>
    <w:basedOn w:val="826"/>
    <w:uiPriority w:val="99"/>
    <w:semiHidden/>
    <w:unhideWhenUsed/>
    <w:rPr>
      <w:vertAlign w:val="superscript"/>
    </w:rPr>
  </w:style>
  <w:style w:type="paragraph" w:styleId="813">
    <w:name w:val="toc 1"/>
    <w:basedOn w:val="824"/>
    <w:next w:val="824"/>
    <w:uiPriority w:val="39"/>
    <w:unhideWhenUsed/>
    <w:pPr>
      <w:ind w:left="0" w:right="0" w:firstLine="0"/>
      <w:spacing w:after="57"/>
    </w:pPr>
  </w:style>
  <w:style w:type="paragraph" w:styleId="814">
    <w:name w:val="toc 2"/>
    <w:basedOn w:val="824"/>
    <w:next w:val="824"/>
    <w:uiPriority w:val="39"/>
    <w:unhideWhenUsed/>
    <w:pPr>
      <w:ind w:left="283" w:right="0" w:firstLine="0"/>
      <w:spacing w:after="57"/>
    </w:pPr>
  </w:style>
  <w:style w:type="paragraph" w:styleId="815">
    <w:name w:val="toc 3"/>
    <w:basedOn w:val="824"/>
    <w:next w:val="824"/>
    <w:uiPriority w:val="39"/>
    <w:unhideWhenUsed/>
    <w:pPr>
      <w:ind w:left="567" w:right="0" w:firstLine="0"/>
      <w:spacing w:after="57"/>
    </w:pPr>
  </w:style>
  <w:style w:type="paragraph" w:styleId="816">
    <w:name w:val="toc 4"/>
    <w:basedOn w:val="824"/>
    <w:next w:val="824"/>
    <w:uiPriority w:val="39"/>
    <w:unhideWhenUsed/>
    <w:pPr>
      <w:ind w:left="850" w:right="0" w:firstLine="0"/>
      <w:spacing w:after="57"/>
    </w:pPr>
  </w:style>
  <w:style w:type="paragraph" w:styleId="817">
    <w:name w:val="toc 5"/>
    <w:basedOn w:val="824"/>
    <w:next w:val="824"/>
    <w:uiPriority w:val="39"/>
    <w:unhideWhenUsed/>
    <w:pPr>
      <w:ind w:left="1134" w:right="0" w:firstLine="0"/>
      <w:spacing w:after="57"/>
    </w:pPr>
  </w:style>
  <w:style w:type="paragraph" w:styleId="818">
    <w:name w:val="toc 6"/>
    <w:basedOn w:val="824"/>
    <w:next w:val="824"/>
    <w:uiPriority w:val="39"/>
    <w:unhideWhenUsed/>
    <w:pPr>
      <w:ind w:left="1417" w:right="0" w:firstLine="0"/>
      <w:spacing w:after="57"/>
    </w:pPr>
  </w:style>
  <w:style w:type="paragraph" w:styleId="819">
    <w:name w:val="toc 7"/>
    <w:basedOn w:val="824"/>
    <w:next w:val="824"/>
    <w:uiPriority w:val="39"/>
    <w:unhideWhenUsed/>
    <w:pPr>
      <w:ind w:left="1701" w:right="0" w:firstLine="0"/>
      <w:spacing w:after="57"/>
    </w:pPr>
  </w:style>
  <w:style w:type="paragraph" w:styleId="820">
    <w:name w:val="toc 8"/>
    <w:basedOn w:val="824"/>
    <w:next w:val="824"/>
    <w:uiPriority w:val="39"/>
    <w:unhideWhenUsed/>
    <w:pPr>
      <w:ind w:left="1984" w:right="0" w:firstLine="0"/>
      <w:spacing w:after="57"/>
    </w:pPr>
  </w:style>
  <w:style w:type="paragraph" w:styleId="821">
    <w:name w:val="toc 9"/>
    <w:basedOn w:val="824"/>
    <w:next w:val="824"/>
    <w:uiPriority w:val="39"/>
    <w:unhideWhenUsed/>
    <w:pPr>
      <w:ind w:left="2268" w:right="0" w:firstLine="0"/>
      <w:spacing w:after="57"/>
    </w:pPr>
  </w:style>
  <w:style w:type="paragraph" w:styleId="822">
    <w:name w:val="TOC Heading"/>
    <w:uiPriority w:val="39"/>
    <w:unhideWhenUsed/>
  </w:style>
  <w:style w:type="paragraph" w:styleId="823">
    <w:name w:val="table of figures"/>
    <w:basedOn w:val="824"/>
    <w:next w:val="824"/>
    <w:uiPriority w:val="99"/>
    <w:unhideWhenUsed/>
    <w:pPr>
      <w:spacing w:after="0" w:afterAutospacing="0"/>
    </w:pPr>
  </w:style>
  <w:style w:type="paragraph" w:styleId="824" w:default="1">
    <w:name w:val="Normal"/>
    <w:qFormat/>
    <w:pPr>
      <w:jc w:val="left"/>
      <w:spacing w:before="0" w:after="0" w:line="240" w:lineRule="auto"/>
      <w:widowControl/>
    </w:pPr>
    <w:rPr>
      <w:rFonts w:ascii="Times New Roman" w:hAnsi="Times New Roman" w:eastAsia="Calibri" w:cs="Times New Roman" w:eastAsiaTheme="minorHAnsi"/>
      <w:color w:val="auto"/>
      <w:sz w:val="20"/>
      <w:szCs w:val="20"/>
      <w:lang w:val="ru-RU" w:eastAsia="ar-SA" w:bidi="ar-SA"/>
    </w:rPr>
  </w:style>
  <w:style w:type="paragraph" w:styleId="825">
    <w:name w:val="Heading 1"/>
    <w:basedOn w:val="831"/>
    <w:next w:val="832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DejaVu Sans" w:cs="Noto Sans Arabic UI"/>
      <w:b/>
      <w:bCs/>
      <w:sz w:val="48"/>
      <w:szCs w:val="48"/>
    </w:rPr>
  </w:style>
  <w:style w:type="character" w:styleId="826" w:default="1">
    <w:name w:val="Default Paragraph Font"/>
    <w:uiPriority w:val="1"/>
    <w:semiHidden/>
    <w:unhideWhenUsed/>
    <w:qFormat/>
  </w:style>
  <w:style w:type="character" w:styleId="827" w:customStyle="1">
    <w:name w:val="Верхний колонтитул Знак"/>
    <w:basedOn w:val="826"/>
    <w:qFormat/>
    <w:rPr>
      <w:rFonts w:ascii="Times New Roman" w:hAnsi="Times New Roman" w:eastAsia="Calibri" w:cs="Times New Roman"/>
      <w:sz w:val="20"/>
      <w:szCs w:val="20"/>
      <w:lang w:eastAsia="ar-SA"/>
    </w:rPr>
  </w:style>
  <w:style w:type="character" w:styleId="828">
    <w:name w:val="Интернет-ссылка"/>
    <w:rPr>
      <w:color w:val="000080"/>
      <w:u w:val="single"/>
    </w:rPr>
  </w:style>
  <w:style w:type="character" w:styleId="829">
    <w:name w:val="Нумерация строк"/>
  </w:style>
  <w:style w:type="character" w:styleId="830">
    <w:name w:val="Символ нумерации"/>
    <w:qFormat/>
  </w:style>
  <w:style w:type="paragraph" w:styleId="831">
    <w:name w:val="Заголовок"/>
    <w:basedOn w:val="824"/>
    <w:next w:val="832"/>
    <w:qFormat/>
    <w:pPr>
      <w:keepNext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832">
    <w:name w:val="Body Text"/>
    <w:basedOn w:val="824"/>
    <w:pPr>
      <w:spacing w:before="0" w:after="140" w:line="276" w:lineRule="auto"/>
    </w:pPr>
  </w:style>
  <w:style w:type="paragraph" w:styleId="833">
    <w:name w:val="List"/>
    <w:basedOn w:val="832"/>
    <w:rPr>
      <w:rFonts w:cs="Lohit Devanagari"/>
    </w:rPr>
  </w:style>
  <w:style w:type="paragraph" w:styleId="834">
    <w:name w:val="Caption"/>
    <w:basedOn w:val="824"/>
    <w:qFormat/>
    <w:pPr>
      <w:spacing w:before="120" w:after="120"/>
      <w:suppressLineNumbers/>
    </w:pPr>
    <w:rPr>
      <w:rFonts w:cs="Lohit Devanagari"/>
      <w:i/>
      <w:iCs/>
      <w:sz w:val="24"/>
      <w:szCs w:val="24"/>
    </w:rPr>
  </w:style>
  <w:style w:type="paragraph" w:styleId="835">
    <w:name w:val="Указатель"/>
    <w:basedOn w:val="824"/>
    <w:qFormat/>
    <w:pPr>
      <w:suppressLineNumbers/>
    </w:pPr>
    <w:rPr>
      <w:rFonts w:cs="Lohit Devanagari"/>
    </w:rPr>
  </w:style>
  <w:style w:type="paragraph" w:styleId="836">
    <w:name w:val="List Paragraph"/>
    <w:basedOn w:val="824"/>
    <w:uiPriority w:val="34"/>
    <w:qFormat/>
    <w:pPr>
      <w:contextualSpacing/>
      <w:ind w:left="720" w:firstLine="0"/>
      <w:spacing w:before="0" w:after="0"/>
    </w:pPr>
  </w:style>
  <w:style w:type="paragraph" w:styleId="837">
    <w:name w:val="Верхний и нижний колонтитулы"/>
    <w:basedOn w:val="824"/>
    <w:qFormat/>
  </w:style>
  <w:style w:type="paragraph" w:styleId="838">
    <w:name w:val="Header"/>
    <w:basedOn w:val="824"/>
    <w:pPr>
      <w:tabs>
        <w:tab w:val="clear" w:pos="708" w:leader="none"/>
        <w:tab w:val="center" w:pos="4536" w:leader="none"/>
        <w:tab w:val="right" w:pos="9072" w:leader="none"/>
      </w:tabs>
    </w:pPr>
  </w:style>
  <w:style w:type="paragraph" w:styleId="839">
    <w:name w:val="No Spacing"/>
    <w:basedOn w:val="824"/>
    <w:uiPriority w:val="1"/>
    <w:qFormat/>
    <w:rPr>
      <w:rFonts w:ascii="Calibri" w:hAnsi="Calibri" w:asciiTheme="minorHAnsi" w:hAnsiTheme="minorHAnsi" w:eastAsiaTheme="minorEastAsia" w:cstheme="minorBidi"/>
      <w:sz w:val="22"/>
      <w:szCs w:val="22"/>
      <w:lang w:val="en-US" w:eastAsia="en-US" w:bidi="en-US"/>
    </w:rPr>
  </w:style>
  <w:style w:type="paragraph" w:styleId="840">
    <w:name w:val="Текст в заданном формате"/>
    <w:basedOn w:val="824"/>
    <w:qFormat/>
    <w:pPr>
      <w:spacing w:before="0" w:after="0"/>
    </w:pPr>
    <w:rPr>
      <w:rFonts w:ascii="Liberation Mono" w:hAnsi="Liberation Mono" w:eastAsia="Liberation Mono"/>
      <w:sz w:val="20"/>
      <w:szCs w:val="20"/>
    </w:rPr>
  </w:style>
  <w:style w:type="paragraph" w:styleId="841">
    <w:name w:val="Footer"/>
    <w:basedOn w:val="837"/>
    <w:pPr>
      <w:tabs>
        <w:tab w:val="clear" w:pos="708" w:leader="none"/>
        <w:tab w:val="center" w:pos="4677" w:leader="none"/>
        <w:tab w:val="right" w:pos="9355" w:leader="none"/>
      </w:tabs>
      <w:suppressLineNumbers/>
    </w:pPr>
  </w:style>
  <w:style w:type="numbering" w:styleId="842" w:default="1">
    <w:name w:val="No List"/>
    <w:uiPriority w:val="99"/>
    <w:semiHidden/>
    <w:unhideWhenUsed/>
    <w:qFormat/>
  </w:style>
  <w:style w:type="numbering" w:styleId="843">
    <w:name w:val="Нумерованный 123"/>
    <w:qFormat/>
  </w:style>
  <w:style w:type="table" w:styleId="844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table" w:styleId="845">
    <w:name w:val="Table Grid"/>
    <w:basedOn w:val="844"/>
    <w:uiPriority w:val="59"/>
    <w:pPr>
      <w:spacing w:after="0" w:line="240" w:lineRule="auto"/>
    </w:pPr>
    <w:rPr>
      <w:rFonts w:eastAsiaTheme="minorEastAsia"/>
      <w:lang w:val="en-US" w:bidi="en-US"/>
    </w:r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gymkhana-cup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R7-Office/7.3.3.59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Табачков</dc:creator>
  <dc:description/>
  <dc:language>ru-RU</dc:language>
  <cp:lastModifiedBy>Мотоджимхана Екатеринбург</cp:lastModifiedBy>
  <cp:revision>30</cp:revision>
  <dcterms:created xsi:type="dcterms:W3CDTF">2016-10-09T05:34:00Z</dcterms:created>
  <dcterms:modified xsi:type="dcterms:W3CDTF">2023-07-24T10:17:34Z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