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3"/>
        <w:ind w:left="6379" w:firstLine="0"/>
        <w:jc w:val="both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3"/>
        <w:ind w:left="6379" w:firstLine="0"/>
        <w:jc w:val="both"/>
        <w:spacing w:before="40" w:after="0"/>
      </w:pPr>
      <w:r>
        <w:rPr>
          <w:sz w:val="22"/>
          <w:szCs w:val="22"/>
        </w:rPr>
        <w:t xml:space="preserve"> </w:t>
      </w:r>
      <w:r/>
    </w:p>
    <w:p>
      <w:pPr>
        <w:pStyle w:val="843"/>
        <w:ind w:left="6379" w:firstLine="0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3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РЕГЛАМЕНТ</w:t>
      </w:r>
      <w:r>
        <w:rPr>
          <w:b/>
          <w:bCs/>
          <w:sz w:val="24"/>
          <w:szCs w:val="24"/>
        </w:rPr>
      </w:r>
    </w:p>
    <w:p>
      <w:pPr>
        <w:pStyle w:val="843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Личного открытого межрегионального Чемпионата Уральского федерального округа в г.Екатеринбург по фигурному вождению мотоцикла (мотоджимхане) Gymkhana CUP Ekat 2024.</w:t>
      </w:r>
      <w:r>
        <w:rPr>
          <w:b/>
          <w:bCs/>
          <w:sz w:val="24"/>
          <w:szCs w:val="24"/>
        </w:rPr>
      </w:r>
    </w:p>
    <w:p>
      <w:pPr>
        <w:pStyle w:val="843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Цели и задачи</w:t>
      </w:r>
      <w:r>
        <w:rPr>
          <w:b/>
          <w:sz w:val="24"/>
          <w:szCs w:val="24"/>
        </w:rPr>
      </w:r>
    </w:p>
    <w:p>
      <w:pPr>
        <w:pStyle w:val="855"/>
        <w:ind w:left="360" w:firstLine="0"/>
      </w:pPr>
      <w:r/>
      <w:r/>
    </w:p>
    <w:p>
      <w:pPr>
        <w:pStyle w:val="855"/>
        <w:numPr>
          <w:ilvl w:val="1"/>
          <w:numId w:val="2"/>
        </w:numPr>
      </w:pPr>
      <w:r>
        <w:rPr>
          <w:sz w:val="24"/>
          <w:szCs w:val="24"/>
        </w:rPr>
        <w:t xml:space="preserve">Пропаганда и популяризация фигурного вождения мотоцикла (мотоджимханы) в Уральском Федеральном округе.</w:t>
      </w:r>
      <w:r/>
    </w:p>
    <w:p>
      <w:pPr>
        <w:pStyle w:val="855"/>
        <w:numPr>
          <w:ilvl w:val="1"/>
          <w:numId w:val="2"/>
        </w:numPr>
      </w:pPr>
      <w:r>
        <w:rPr>
          <w:sz w:val="24"/>
          <w:szCs w:val="24"/>
        </w:rPr>
        <w:t xml:space="preserve">Сохранение спортивных традиций российского мотоспорта.</w:t>
      </w:r>
      <w:r/>
    </w:p>
    <w:p>
      <w:pPr>
        <w:pStyle w:val="855"/>
        <w:numPr>
          <w:ilvl w:val="1"/>
          <w:numId w:val="2"/>
        </w:numPr>
      </w:pPr>
      <w:r>
        <w:rPr>
          <w:sz w:val="24"/>
          <w:szCs w:val="24"/>
        </w:rPr>
        <w:t xml:space="preserve">Повышения спортивного мастерства.</w:t>
      </w:r>
      <w:r/>
    </w:p>
    <w:p>
      <w:pPr>
        <w:pStyle w:val="855"/>
        <w:numPr>
          <w:ilvl w:val="1"/>
          <w:numId w:val="2"/>
        </w:numPr>
      </w:pPr>
      <w:r>
        <w:rPr>
          <w:sz w:val="24"/>
          <w:szCs w:val="24"/>
        </w:rPr>
        <w:t xml:space="preserve">Выявления сильнейших спортсменов.</w:t>
      </w:r>
      <w:r/>
    </w:p>
    <w:p>
      <w:pPr>
        <w:pStyle w:val="855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</w:pPr>
      <w:r/>
      <w:r/>
    </w:p>
    <w:p>
      <w:pPr>
        <w:pStyle w:val="843"/>
      </w:pPr>
      <w:r/>
      <w:r/>
    </w:p>
    <w:p>
      <w:pPr>
        <w:pStyle w:val="855"/>
        <w:numPr>
          <w:ilvl w:val="0"/>
          <w:numId w:val="2"/>
        </w:numPr>
        <w:jc w:val="center"/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ru-RU" w:eastAsia="ar-SA" w:bidi="ar-SA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 xml:space="preserve">Общие положения</w:t>
      </w: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ru-RU" w:eastAsia="ar-SA" w:bidi="ar-SA"/>
        </w:rPr>
      </w:r>
    </w:p>
    <w:p>
      <w:pPr>
        <w:pStyle w:val="855"/>
        <w:ind w:left="360" w:firstLine="0"/>
      </w:pPr>
      <w:r/>
      <w:r/>
    </w:p>
    <w:p>
      <w:pPr>
        <w:pStyle w:val="85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Организатором соревновательного этапа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Gymkhana CUP Ekat 2024</w:t>
      </w:r>
      <w:r>
        <w:rPr>
          <w:rFonts w:ascii="Liberation Serif" w:hAnsi="Liberation Serif" w:cs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  <w:r/>
    </w:p>
    <w:p>
      <w:pPr>
        <w:pStyle w:val="855"/>
        <w:numPr>
          <w:ilvl w:val="1"/>
          <w:numId w:val="2"/>
        </w:numPr>
        <w:rPr>
          <w:highlight w:val="none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1 июня 2024 года 9:00 — 20:00 на парковке Ледовой арены. Свердловская область, г. Верхняя Пышма, Успенский проспект, 4. Координаты площадки: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56.969659, 60.578266</w:t>
      </w:r>
      <w:r>
        <w:rPr>
          <w:highlight w:val="none"/>
        </w:rPr>
      </w:r>
      <w:r>
        <w:rPr>
          <w:highlight w:val="none"/>
        </w:rPr>
      </w:r>
    </w:p>
    <w:p>
      <w:pPr>
        <w:pStyle w:val="85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является единственным этапом.</w:t>
      </w:r>
      <w:r/>
    </w:p>
    <w:p>
      <w:pPr>
        <w:pStyle w:val="85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Погодные условия – без ограничений.</w:t>
      </w:r>
      <w:r/>
    </w:p>
    <w:p>
      <w:pPr>
        <w:pStyle w:val="85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  <w:r/>
    </w:p>
    <w:p>
      <w:pPr>
        <w:pStyle w:val="855"/>
        <w:numPr>
          <w:ilvl w:val="1"/>
          <w:numId w:val="2"/>
        </w:numPr>
        <w:rPr>
          <w:highlight w:val="none"/>
        </w:rPr>
      </w:pPr>
      <w:r>
        <w:rPr>
          <w:sz w:val="24"/>
          <w:szCs w:val="24"/>
          <w:highlight w:val="none"/>
        </w:rPr>
        <w:t xml:space="preserve">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Расписание Соревнования:</w:t>
      </w:r>
      <w:r>
        <w:rPr>
          <w:highlight w:val="none"/>
        </w:rPr>
      </w:r>
      <w:r>
        <w:rPr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- 9:00 — 10:00 регистрация участников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;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- 10:00-11:00 изучение трассы;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- 11:00-15:00 первая серия заездов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- 15:00-15:30 перерыв;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ascii="Liberation Serif" w:hAnsi="Liberation Serif" w:cs="Liberation Serif"/>
          <w:sz w:val="24"/>
          <w:szCs w:val="24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- 15:30-19:30 вторая серия заездов;</w:t>
      </w:r>
      <w:r>
        <w:rPr>
          <w:highlight w:val="none"/>
        </w:rPr>
      </w:r>
      <w:r>
        <w:rPr>
          <w:rFonts w:ascii="Liberation Serif" w:hAnsi="Liberation Serif" w:cs="Liberation Serif"/>
          <w:sz w:val="24"/>
          <w:szCs w:val="24"/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ascii="Liberation Serif" w:hAnsi="Liberation Serif" w:cs="Liberation Serif" w:eastAsiaTheme="minorHAnsi"/>
          <w:sz w:val="24"/>
          <w:szCs w:val="24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- 19:30-20:00 подведение итогов, награждение;</w:t>
      </w:r>
      <w:r>
        <w:rPr>
          <w:rFonts w:eastAsiaTheme="minorHAnsi"/>
          <w:highlight w:val="none"/>
        </w:rPr>
      </w:r>
      <w:r>
        <w:rPr>
          <w:rFonts w:ascii="Liberation Serif" w:hAnsi="Liberation Serif" w:cs="Liberation Serif" w:eastAsiaTheme="minorHAnsi"/>
          <w:sz w:val="24"/>
          <w:szCs w:val="24"/>
          <w:highlight w:val="none"/>
        </w:rPr>
      </w:r>
    </w:p>
    <w:p>
      <w:pPr>
        <w:pStyle w:val="85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Тайминг мероприятия может быть скорректирован организаторами в день соревнований.</w:t>
      </w:r>
      <w:r>
        <w:rPr>
          <w:rFonts w:ascii="Liberation Serif" w:hAnsi="Liberation Serif" w:cs="Liberation Serif"/>
          <w:sz w:val="24"/>
          <w:szCs w:val="24"/>
          <w:highlight w:val="none"/>
        </w:rPr>
      </w:r>
      <w:r>
        <w:rPr>
          <w:rFonts w:eastAsiaTheme="minorHAnsi"/>
          <w:highlight w:val="none"/>
        </w:rPr>
      </w:r>
    </w:p>
    <w:p>
      <w:pPr>
        <w:pStyle w:val="855"/>
        <w:numPr>
          <w:ilvl w:val="0"/>
          <w:numId w:val="0"/>
        </w:numPr>
        <w:ind w:left="1512" w:firstLine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55"/>
        <w:ind w:left="72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36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Руководство и организация</w:t>
      </w:r>
      <w:r>
        <w:rPr>
          <w:b/>
          <w:sz w:val="24"/>
          <w:szCs w:val="24"/>
        </w:rPr>
      </w:r>
    </w:p>
    <w:p>
      <w:pPr>
        <w:pStyle w:val="843"/>
      </w:pPr>
      <w:r/>
      <w:r/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 xml:space="preserve">команда «Мотоджимхана Екатеринбург Team»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Ответственность за непосредственную подготовку, проведение и финансирование соревнований возлагается на организатора.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 xml:space="preserve"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  <w:r>
        <w:rPr>
          <w:sz w:val="24"/>
          <w:szCs w:val="24"/>
        </w:rPr>
      </w:r>
    </w:p>
    <w:p>
      <w:pPr>
        <w:pStyle w:val="8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Участники соревнований</w:t>
      </w:r>
      <w:r>
        <w:rPr>
          <w:b/>
          <w:sz w:val="24"/>
          <w:szCs w:val="24"/>
        </w:rPr>
      </w:r>
    </w:p>
    <w:p>
      <w:pPr>
        <w:pStyle w:val="8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  <w:r>
        <w:rPr>
          <w:sz w:val="24"/>
          <w:szCs w:val="24"/>
        </w:rPr>
      </w:r>
    </w:p>
    <w:p>
      <w:pPr>
        <w:pStyle w:val="855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Необходимые документы (предоставляются оригиналы) для допуска спортсмена к участию в соревнованиях:</w:t>
      </w:r>
      <w:r>
        <w:rPr>
          <w:sz w:val="24"/>
          <w:szCs w:val="24"/>
        </w:rPr>
      </w:r>
    </w:p>
    <w:p>
      <w:pPr>
        <w:pStyle w:val="85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9" w:tooltip="https://gymkhana-cup.ru/" w:history="1">
        <w:r>
          <w:rPr>
            <w:sz w:val="24"/>
            <w:szCs w:val="24"/>
          </w:rPr>
          <w:t xml:space="preserve">https://gymkhana-cup.ru</w:t>
        </w:r>
      </w:hyperlink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</w:p>
    <w:p>
      <w:pPr>
        <w:pStyle w:val="85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водительское удостоверение категории А, А1;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документ, удостоверяющий личность спортсмена;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3"/>
        </w:numPr>
        <w:rPr>
          <w:rFonts w:eastAsiaTheme="minorHAnsi"/>
          <w:highlight w:val="none"/>
        </w:rPr>
      </w:pPr>
      <w:r>
        <w:rPr>
          <w:rFonts w:eastAsia="Calibri" w:eastAsiaTheme="minorHAnsi"/>
          <w:sz w:val="24"/>
          <w:szCs w:val="24"/>
          <w:highlight w:val="none"/>
        </w:rPr>
        <w:t xml:space="preserve">отметку</w:t>
      </w:r>
      <w:r>
        <w:rPr>
          <w:rFonts w:eastAsia="Calibri" w:eastAsiaTheme="minorHAnsi"/>
          <w:sz w:val="24"/>
          <w:szCs w:val="24"/>
          <w:highlight w:val="none"/>
        </w:rPr>
        <w:t xml:space="preserve"> о проверке ТС техническим комиссаром;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55"/>
        <w:numPr>
          <w:ilvl w:val="0"/>
          <w:numId w:val="0"/>
        </w:numPr>
        <w:ind w:left="223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hAnsi="Liberation Serif" w:eastAsia="Calibri" w:cs="Times New Roman"/>
          <w:sz w:val="24"/>
          <w:szCs w:val="24"/>
          <w:lang w:eastAsia="ar-SA"/>
        </w:rPr>
        <w:t xml:space="preserve"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Кроме зачёта в общем сост</w:t>
      </w:r>
      <w:r>
        <w:rPr>
          <w:rFonts w:ascii="Liberation Serif" w:hAnsi="Liberation Serif" w:cs="Liberation Serif"/>
          <w:sz w:val="24"/>
          <w:szCs w:val="24"/>
        </w:rPr>
        <w:t xml:space="preserve">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При регистрации каждый участник должен уплатить организатору с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 xml:space="preserve">тартовый</w:t>
      </w:r>
      <w:r>
        <w:rPr>
          <w:sz w:val="24"/>
          <w:szCs w:val="24"/>
        </w:rPr>
        <w:t xml:space="preserve"> 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 xml:space="preserve">взнос</w:t>
      </w:r>
      <w:r>
        <w:rPr>
          <w:sz w:val="24"/>
          <w:szCs w:val="24"/>
        </w:rPr>
        <w:t xml:space="preserve"> в размере 1500 рублей. </w:t>
      </w:r>
      <w:r>
        <w:rPr>
          <w:rFonts w:ascii="Liberation Serif" w:hAnsi="Liberation Serif" w:cs="Liberation Serif"/>
          <w:sz w:val="24"/>
          <w:szCs w:val="24"/>
        </w:rPr>
        <w:t xml:space="preserve"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  <w:r>
        <w:rPr>
          <w:sz w:val="24"/>
          <w:szCs w:val="24"/>
        </w:rPr>
      </w:r>
    </w:p>
    <w:p>
      <w:pPr>
        <w:pStyle w:val="855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 xml:space="preserve">Требования к ТС</w:t>
      </w:r>
      <w:r>
        <w:rPr>
          <w:b/>
          <w:sz w:val="24"/>
          <w:szCs w:val="24"/>
        </w:rPr>
      </w:r>
    </w:p>
    <w:p>
      <w:pPr>
        <w:pStyle w:val="843"/>
      </w:pPr>
      <w:r/>
      <w:r/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  <w:r>
        <w:rPr>
          <w:rFonts w:ascii="Liberation Serif" w:hAnsi="Liberation Serif" w:cs="Liberation Serif"/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  <w:t xml:space="preserve">Д</w:t>
      </w:r>
      <w:r>
        <w:rPr>
          <w:rFonts w:ascii="Liberation Serif" w:hAnsi="Liberation Serif" w:cs="Liberation Serif"/>
          <w:sz w:val="24"/>
          <w:szCs w:val="24"/>
        </w:rPr>
        <w:t xml:space="preserve">опускается использование покры</w:t>
      </w:r>
      <w:r>
        <w:rPr>
          <w:rFonts w:ascii="Liberation Serif" w:hAnsi="Liberation Serif" w:cs="Liberation Serif"/>
          <w:sz w:val="24"/>
          <w:szCs w:val="24"/>
        </w:rPr>
        <w:t xml:space="preserve">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</w:t>
      </w:r>
      <w:r>
        <w:rPr>
          <w:rFonts w:ascii="Liberation Serif" w:hAnsi="Liberation Serif" w:cs="Liberation Serif"/>
          <w:sz w:val="24"/>
          <w:szCs w:val="24"/>
        </w:rPr>
        <w:t xml:space="preserve">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rFonts w:ascii="Liberation Serif" w:hAnsi="Liberation Serif" w:cs="Liberation Serif" w:eastAsiaTheme="minorHAnsi"/>
          <w:color w:val="auto"/>
          <w:sz w:val="24"/>
          <w:szCs w:val="24"/>
          <w:lang w:val="ru-RU" w:eastAsia="ar-SA" w:bidi="ar-SA"/>
        </w:rPr>
      </w:pPr>
      <w:r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val="ru-RU" w:eastAsia="ar-SA" w:bidi="ar-SA"/>
        </w:rPr>
        <w:t xml:space="preserve"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  <w:r>
        <w:rPr>
          <w:rFonts w:ascii="Liberation Serif" w:hAnsi="Liberation Serif" w:cs="Liberation Serif" w:eastAsiaTheme="minorHAnsi"/>
          <w:color w:val="auto"/>
          <w:sz w:val="24"/>
          <w:szCs w:val="24"/>
          <w:lang w:val="ru-RU" w:eastAsia="ar-SA" w:bidi="ar-SA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Участникам разрешается снять с мотоциклов зеркала заднего вида, кофры, фару головного света и указатели поворота.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Организаторы не несут ответственности за легальность техники, участвующей в Соревновании.</w:t>
      </w:r>
      <w:r>
        <w:rPr>
          <w:sz w:val="24"/>
          <w:szCs w:val="24"/>
        </w:rPr>
      </w:r>
    </w:p>
    <w:p>
      <w:pPr>
        <w:pStyle w:val="855"/>
        <w:ind w:left="720" w:firstLine="0"/>
      </w:pPr>
      <w:r/>
      <w:r/>
    </w:p>
    <w:p>
      <w:pPr>
        <w:pStyle w:val="85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</w:t>
      </w:r>
      <w:r>
        <w:rPr>
          <w:b/>
          <w:sz w:val="24"/>
          <w:szCs w:val="24"/>
        </w:rPr>
      </w:r>
    </w:p>
    <w:p>
      <w:pPr>
        <w:pStyle w:val="85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Участники подразделяются на классы следующим образом:</w:t>
      </w:r>
      <w:r>
        <w:rPr>
          <w:sz w:val="24"/>
          <w:szCs w:val="24"/>
        </w:rPr>
      </w:r>
    </w:p>
    <w:p>
      <w:pPr>
        <w:pStyle w:val="855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Класс Новички (N — D4)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855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Любители (D3 — D2)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855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Спортсмены (D1 — C3)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855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ПРО (С2 — С1)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855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highlight w:val="none"/>
          <w:lang w:eastAsia="ar-SA"/>
        </w:rPr>
        <w:t xml:space="preserve">В</w:t>
      </w:r>
      <w:r>
        <w:rPr>
          <w:rFonts w:eastAsia="Calibri" w:cs="Times New Roman"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855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Круизеры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Решение технической комиссии о присвоении того или иного класса обжалованию не подлежит.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Класс считается состоявшимся, если в нем участвует не менее 4х участников.</w:t>
      </w:r>
      <w:r>
        <w:rPr>
          <w:sz w:val="24"/>
          <w:szCs w:val="24"/>
        </w:rPr>
      </w:r>
    </w:p>
    <w:p>
      <w:pPr>
        <w:pStyle w:val="85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Условия проведения соревнований</w:t>
      </w:r>
      <w:r>
        <w:rPr>
          <w:b/>
          <w:sz w:val="24"/>
          <w:szCs w:val="24"/>
        </w:rPr>
      </w:r>
    </w:p>
    <w:p>
      <w:pPr>
        <w:pStyle w:val="85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на личное первенство в два заезда на каждом этапе для каждого класса мотоциклов.</w:t>
      </w:r>
      <w:r>
        <w:rPr>
          <w:sz w:val="24"/>
          <w:szCs w:val="24"/>
        </w:rPr>
      </w:r>
    </w:p>
    <w:p>
      <w:pPr>
        <w:pStyle w:val="855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Изменение стартовых номеров и/или выступление под одним номером разных участников ЗАПРЕЩЕНО.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Выход на старт первого заезда производится в порядке определенном стартовой таблицей и по приглашению судьи.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 случае неявки участника на старт в течение 2х минут, участнику присуждается дисквалификация в заезде.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  <w:r>
        <w:rPr>
          <w:sz w:val="24"/>
          <w:szCs w:val="24"/>
        </w:rPr>
      </w:r>
    </w:p>
    <w:p>
      <w:pPr>
        <w:pStyle w:val="85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Первый заезд все классы.</w:t>
      </w:r>
      <w:r>
        <w:rPr>
          <w:rFonts w:eastAsiaTheme="minorHAnsi"/>
          <w:sz w:val="24"/>
          <w:szCs w:val="24"/>
          <w:highlight w:val="yellow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Второй заезд все классы.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За 10 минут до старта каждого заезда мотоциклы должны быть в предстартовом парке.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Размер залога, вносимого при подаче протеста – 5000 руб.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 xml:space="preserve">ориентировочным</w:t>
      </w:r>
      <w:r>
        <w:rPr>
          <w:sz w:val="24"/>
          <w:szCs w:val="24"/>
        </w:rPr>
        <w:t xml:space="preserve">. Уточненное расписание вывешивается на соревнованиях на доску информации.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Штрафные баллы и их обозначение судьями на трассе:</w:t>
      </w:r>
      <w:r>
        <w:rPr>
          <w:sz w:val="24"/>
          <w:szCs w:val="24"/>
        </w:rPr>
      </w:r>
    </w:p>
    <w:p>
      <w:pPr>
        <w:pStyle w:val="855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+ 1 сек. (желтый флаг):</w:t>
      </w:r>
      <w:r>
        <w:rPr>
          <w:b/>
          <w:sz w:val="24"/>
          <w:szCs w:val="24"/>
        </w:rPr>
      </w:r>
    </w:p>
    <w:p>
      <w:pPr>
        <w:pStyle w:val="855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касание ограждений и элементов трассы;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коснуться ногой (кроме остановки в воротах старт-финиш).</w:t>
      </w:r>
      <w:r>
        <w:rPr>
          <w:sz w:val="24"/>
          <w:szCs w:val="24"/>
        </w:rPr>
      </w:r>
    </w:p>
    <w:p>
      <w:pPr>
        <w:pStyle w:val="855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+ 3 сек. (красный флаг):</w:t>
      </w:r>
      <w:r>
        <w:rPr>
          <w:b/>
          <w:sz w:val="24"/>
          <w:szCs w:val="24"/>
        </w:rPr>
      </w:r>
    </w:p>
    <w:p>
      <w:pPr>
        <w:pStyle w:val="85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границу трассы;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невыполнение проезда по линии в элементе типа "Зеркало" (два конуса с полосой разметки между ними);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перебирать ногой / касание ногой земли для выполнения разворота;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габариты ворот старт-финиш (переднее колесо ТС находится вне линий ворот старт-финиш);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неполный въезд ТС в ворота старт-финиш (заднее колесо ТС находится вне линий ворот старт-финиш);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 или ТС находятся за пределами ворот старт-финиш.</w:t>
      </w:r>
      <w:r>
        <w:rPr>
          <w:sz w:val="24"/>
          <w:szCs w:val="24"/>
        </w:rPr>
      </w:r>
    </w:p>
    <w:p>
      <w:pPr>
        <w:pStyle w:val="855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Незачет попытки (оба флага одновременно):</w:t>
      </w:r>
      <w:r>
        <w:rPr>
          <w:b/>
          <w:sz w:val="24"/>
          <w:szCs w:val="24"/>
        </w:rPr>
      </w:r>
    </w:p>
    <w:p>
      <w:pPr>
        <w:pStyle w:val="85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(допускается вернуться и проехать элементы в правильной последовательности);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конуса не с той стороны (допускается вернутся и проехать элемент правильно);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несоблюдение маршрута движения по трассе;</w:t>
      </w:r>
      <w:r>
        <w:rPr>
          <w:sz w:val="24"/>
          <w:szCs w:val="24"/>
        </w:rPr>
      </w:r>
    </w:p>
    <w:p>
      <w:pPr>
        <w:pStyle w:val="85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ворот старт-финиш без остановки.</w:t>
      </w:r>
      <w:r>
        <w:rPr>
          <w:sz w:val="24"/>
          <w:szCs w:val="24"/>
        </w:rPr>
      </w:r>
    </w:p>
    <w:p>
      <w:pPr>
        <w:pStyle w:val="855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Штрафов за падение не предусмотрено. Участник может поднять мотоцикл и продолжить заезд.</w:t>
      </w:r>
      <w:r>
        <w:rPr>
          <w:sz w:val="24"/>
          <w:szCs w:val="24"/>
        </w:rPr>
      </w:r>
    </w:p>
    <w:p>
      <w:pPr>
        <w:pStyle w:val="85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Определение результатов</w:t>
      </w:r>
      <w:r>
        <w:rPr>
          <w:b/>
          <w:sz w:val="24"/>
          <w:szCs w:val="24"/>
        </w:rPr>
      </w:r>
    </w:p>
    <w:p>
      <w:pPr>
        <w:pStyle w:val="855"/>
        <w:ind w:left="360" w:firstLine="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Все гонщики, участвующие в заезде, классифицируются по времени прохождения трассы.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Личное первенство по итогам этапа определяется по наилучшему времени трассы в рамках класса.</w:t>
      </w:r>
      <w:r>
        <w:rPr>
          <w:sz w:val="24"/>
          <w:szCs w:val="24"/>
        </w:rPr>
      </w:r>
    </w:p>
    <w:p>
      <w:pPr>
        <w:pStyle w:val="855"/>
        <w:numPr>
          <w:ilvl w:val="0"/>
          <w:numId w:val="0"/>
        </w:numPr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</w:p>
    <w:p>
      <w:pPr>
        <w:pStyle w:val="858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</w:p>
    <w:p>
      <w:pPr>
        <w:pStyle w:val="85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Награждение</w:t>
      </w:r>
      <w:r>
        <w:rPr>
          <w:b/>
          <w:sz w:val="24"/>
          <w:szCs w:val="24"/>
        </w:rPr>
      </w:r>
    </w:p>
    <w:p>
      <w:pPr>
        <w:pStyle w:val="84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  <w:r>
        <w:rPr>
          <w:sz w:val="24"/>
          <w:szCs w:val="24"/>
        </w:rPr>
      </w:r>
    </w:p>
    <w:p>
      <w:pPr>
        <w:pStyle w:val="855"/>
        <w:numPr>
          <w:ilvl w:val="1"/>
          <w:numId w:val="2"/>
        </w:numPr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Д</w:t>
      </w:r>
      <w:r>
        <w:rPr>
          <w:rFonts w:eastAsiaTheme="minorHAnsi"/>
          <w:sz w:val="24"/>
          <w:szCs w:val="24"/>
          <w:highlight w:val="none"/>
        </w:rPr>
        <w:t xml:space="preserve">ополнительно грамотами могут быть награждены:</w:t>
      </w:r>
      <w:r>
        <w:rPr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55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Самая быстрая девушка на этапе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55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  <w:r>
        <w:rPr>
          <w:highlight w:val="none"/>
        </w:rPr>
      </w:r>
      <w:r>
        <w:rPr>
          <w:rFonts w:eastAsiaTheme="minorHAnsi"/>
          <w:highlight w:val="none"/>
        </w:rPr>
      </w:r>
    </w:p>
    <w:p>
      <w:pPr>
        <w:pStyle w:val="843"/>
        <w:rPr>
          <w:rFonts w:eastAsiaTheme="minorHAnsi"/>
          <w:highlight w:val="yellow"/>
        </w:rPr>
      </w:pPr>
      <w:r>
        <w:rPr>
          <w:rFonts w:eastAsiaTheme="minorHAnsi"/>
          <w:highlight w:val="yellow"/>
        </w:rPr>
      </w:r>
      <w:r>
        <w:rPr>
          <w:rFonts w:eastAsiaTheme="minorHAnsi"/>
          <w:highlight w:val="yellow"/>
        </w:rPr>
      </w:r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Noto Sans CJK SC">
    <w:panose1 w:val="05040102010807070707"/>
  </w:font>
  <w:font w:name="Courier New">
    <w:panose1 w:val="02070409020205020404"/>
  </w:font>
  <w:font w:name="Lohit Devanagari">
    <w:panose1 w:val="020B0600000000000000"/>
  </w:font>
  <w:font w:name="Wingdings">
    <w:panose1 w:val="05010000000000000000"/>
  </w:font>
  <w:font w:name="Liberation Sans">
    <w:panose1 w:val="020B0604020202020204"/>
  </w:font>
  <w:font w:name="DejaVu Sans">
    <w:panose1 w:val="020B0603030804020204"/>
  </w:font>
  <w:font w:name="Noto Sans Arabic UI">
    <w:panose1 w:val="05040102010807070707"/>
  </w:font>
  <w:font w:name="Liberation Serif">
    <w:panose1 w:val="02020603050405020304"/>
  </w:font>
  <w:font w:name="Liberation Mono">
    <w:panose1 w:val="020704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84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5"/>
    <w:link w:val="844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3"/>
    <w:next w:val="843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5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3"/>
    <w:next w:val="843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5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3"/>
    <w:next w:val="843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5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3"/>
    <w:next w:val="843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5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3"/>
    <w:next w:val="843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3"/>
    <w:next w:val="843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5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3"/>
    <w:next w:val="843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5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3"/>
    <w:next w:val="843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5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3"/>
    <w:next w:val="843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5"/>
    <w:link w:val="689"/>
    <w:uiPriority w:val="10"/>
    <w:rPr>
      <w:sz w:val="48"/>
      <w:szCs w:val="48"/>
    </w:rPr>
  </w:style>
  <w:style w:type="paragraph" w:styleId="691">
    <w:name w:val="Subtitle"/>
    <w:basedOn w:val="843"/>
    <w:next w:val="843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5"/>
    <w:link w:val="691"/>
    <w:uiPriority w:val="11"/>
    <w:rPr>
      <w:sz w:val="24"/>
      <w:szCs w:val="24"/>
    </w:rPr>
  </w:style>
  <w:style w:type="paragraph" w:styleId="693">
    <w:name w:val="Quote"/>
    <w:basedOn w:val="843"/>
    <w:next w:val="843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3"/>
    <w:next w:val="843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5"/>
    <w:link w:val="857"/>
    <w:uiPriority w:val="99"/>
  </w:style>
  <w:style w:type="character" w:styleId="698">
    <w:name w:val="Footer Char"/>
    <w:basedOn w:val="845"/>
    <w:link w:val="860"/>
    <w:uiPriority w:val="99"/>
  </w:style>
  <w:style w:type="character" w:styleId="699">
    <w:name w:val="Caption Char"/>
    <w:basedOn w:val="853"/>
    <w:link w:val="860"/>
    <w:uiPriority w:val="99"/>
  </w:style>
  <w:style w:type="table" w:styleId="700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9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0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1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2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3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4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3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4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5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6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7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8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5">
    <w:name w:val="Hyperlink"/>
    <w:uiPriority w:val="99"/>
    <w:unhideWhenUsed/>
    <w:rPr>
      <w:color w:val="0000ff" w:themeColor="hyperlink"/>
      <w:u w:val="single"/>
    </w:rPr>
  </w:style>
  <w:style w:type="paragraph" w:styleId="826">
    <w:name w:val="footnote text"/>
    <w:basedOn w:val="843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>
    <w:name w:val="Footnote Text Char"/>
    <w:link w:val="826"/>
    <w:uiPriority w:val="99"/>
    <w:rPr>
      <w:sz w:val="18"/>
    </w:rPr>
  </w:style>
  <w:style w:type="character" w:styleId="828">
    <w:name w:val="footnote reference"/>
    <w:basedOn w:val="845"/>
    <w:uiPriority w:val="99"/>
    <w:unhideWhenUsed/>
    <w:rPr>
      <w:vertAlign w:val="superscript"/>
    </w:rPr>
  </w:style>
  <w:style w:type="paragraph" w:styleId="829">
    <w:name w:val="endnote text"/>
    <w:basedOn w:val="843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>
    <w:name w:val="Endnote Text Char"/>
    <w:link w:val="829"/>
    <w:uiPriority w:val="99"/>
    <w:rPr>
      <w:sz w:val="20"/>
    </w:rPr>
  </w:style>
  <w:style w:type="character" w:styleId="831">
    <w:name w:val="endnote reference"/>
    <w:basedOn w:val="845"/>
    <w:uiPriority w:val="99"/>
    <w:semiHidden/>
    <w:unhideWhenUsed/>
    <w:rPr>
      <w:vertAlign w:val="superscript"/>
    </w:rPr>
  </w:style>
  <w:style w:type="paragraph" w:styleId="832">
    <w:name w:val="toc 1"/>
    <w:basedOn w:val="843"/>
    <w:next w:val="843"/>
    <w:uiPriority w:val="39"/>
    <w:unhideWhenUsed/>
    <w:pPr>
      <w:ind w:left="0" w:right="0" w:firstLine="0"/>
      <w:spacing w:after="57"/>
    </w:pPr>
  </w:style>
  <w:style w:type="paragraph" w:styleId="833">
    <w:name w:val="toc 2"/>
    <w:basedOn w:val="843"/>
    <w:next w:val="843"/>
    <w:uiPriority w:val="39"/>
    <w:unhideWhenUsed/>
    <w:pPr>
      <w:ind w:left="283" w:right="0" w:firstLine="0"/>
      <w:spacing w:after="57"/>
    </w:pPr>
  </w:style>
  <w:style w:type="paragraph" w:styleId="834">
    <w:name w:val="toc 3"/>
    <w:basedOn w:val="843"/>
    <w:next w:val="843"/>
    <w:uiPriority w:val="39"/>
    <w:unhideWhenUsed/>
    <w:pPr>
      <w:ind w:left="567" w:right="0" w:firstLine="0"/>
      <w:spacing w:after="57"/>
    </w:pPr>
  </w:style>
  <w:style w:type="paragraph" w:styleId="835">
    <w:name w:val="toc 4"/>
    <w:basedOn w:val="843"/>
    <w:next w:val="843"/>
    <w:uiPriority w:val="39"/>
    <w:unhideWhenUsed/>
    <w:pPr>
      <w:ind w:left="850" w:right="0" w:firstLine="0"/>
      <w:spacing w:after="57"/>
    </w:pPr>
  </w:style>
  <w:style w:type="paragraph" w:styleId="836">
    <w:name w:val="toc 5"/>
    <w:basedOn w:val="843"/>
    <w:next w:val="843"/>
    <w:uiPriority w:val="39"/>
    <w:unhideWhenUsed/>
    <w:pPr>
      <w:ind w:left="1134" w:right="0" w:firstLine="0"/>
      <w:spacing w:after="57"/>
    </w:pPr>
  </w:style>
  <w:style w:type="paragraph" w:styleId="837">
    <w:name w:val="toc 6"/>
    <w:basedOn w:val="843"/>
    <w:next w:val="843"/>
    <w:uiPriority w:val="39"/>
    <w:unhideWhenUsed/>
    <w:pPr>
      <w:ind w:left="1417" w:right="0" w:firstLine="0"/>
      <w:spacing w:after="57"/>
    </w:pPr>
  </w:style>
  <w:style w:type="paragraph" w:styleId="838">
    <w:name w:val="toc 7"/>
    <w:basedOn w:val="843"/>
    <w:next w:val="843"/>
    <w:uiPriority w:val="39"/>
    <w:unhideWhenUsed/>
    <w:pPr>
      <w:ind w:left="1701" w:right="0" w:firstLine="0"/>
      <w:spacing w:after="57"/>
    </w:pPr>
  </w:style>
  <w:style w:type="paragraph" w:styleId="839">
    <w:name w:val="toc 8"/>
    <w:basedOn w:val="843"/>
    <w:next w:val="843"/>
    <w:uiPriority w:val="39"/>
    <w:unhideWhenUsed/>
    <w:pPr>
      <w:ind w:left="1984" w:right="0" w:firstLine="0"/>
      <w:spacing w:after="57"/>
    </w:pPr>
  </w:style>
  <w:style w:type="paragraph" w:styleId="840">
    <w:name w:val="toc 9"/>
    <w:basedOn w:val="843"/>
    <w:next w:val="843"/>
    <w:uiPriority w:val="39"/>
    <w:unhideWhenUsed/>
    <w:pPr>
      <w:ind w:left="2268" w:right="0" w:firstLine="0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843"/>
    <w:next w:val="843"/>
    <w:uiPriority w:val="99"/>
    <w:unhideWhenUsed/>
    <w:pPr>
      <w:spacing w:after="0" w:afterAutospacing="0"/>
    </w:pPr>
  </w:style>
  <w:style w:type="paragraph" w:styleId="843" w:default="1">
    <w:name w:val="Normal"/>
    <w:qFormat/>
    <w:pPr>
      <w:jc w:val="left"/>
      <w:spacing w:before="0" w:after="0" w:line="240" w:lineRule="auto"/>
      <w:widowControl/>
    </w:pPr>
    <w:rPr>
      <w:rFonts w:ascii="Times New Roman" w:hAnsi="Times New Roman" w:eastAsia="Calibri" w:cs="Times New Roman" w:eastAsiaTheme="minorHAnsi"/>
      <w:color w:val="auto"/>
      <w:sz w:val="20"/>
      <w:szCs w:val="20"/>
      <w:lang w:val="ru-RU" w:eastAsia="ar-SA" w:bidi="ar-SA"/>
    </w:rPr>
  </w:style>
  <w:style w:type="paragraph" w:styleId="844">
    <w:name w:val="Heading 1"/>
    <w:basedOn w:val="850"/>
    <w:next w:val="851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character" w:styleId="845" w:default="1">
    <w:name w:val="Default Paragraph Font"/>
    <w:uiPriority w:val="1"/>
    <w:semiHidden/>
    <w:unhideWhenUsed/>
    <w:qFormat/>
  </w:style>
  <w:style w:type="character" w:styleId="846" w:customStyle="1">
    <w:name w:val="Верхний колонтитул Знак"/>
    <w:basedOn w:val="845"/>
    <w:qFormat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847">
    <w:name w:val="Интернет-ссылка"/>
    <w:rPr>
      <w:color w:val="000080"/>
      <w:u w:val="single"/>
    </w:rPr>
  </w:style>
  <w:style w:type="character" w:styleId="848">
    <w:name w:val="Нумерация строк"/>
  </w:style>
  <w:style w:type="character" w:styleId="849">
    <w:name w:val="Символ нумерации"/>
    <w:qFormat/>
  </w:style>
  <w:style w:type="paragraph" w:styleId="850">
    <w:name w:val="Заголовок"/>
    <w:basedOn w:val="843"/>
    <w:next w:val="851"/>
    <w:qFormat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851">
    <w:name w:val="Body Text"/>
    <w:basedOn w:val="843"/>
    <w:pPr>
      <w:spacing w:before="0" w:after="140" w:line="276" w:lineRule="auto"/>
    </w:pPr>
  </w:style>
  <w:style w:type="paragraph" w:styleId="852">
    <w:name w:val="List"/>
    <w:basedOn w:val="851"/>
    <w:rPr>
      <w:rFonts w:cs="Lohit Devanagari"/>
    </w:rPr>
  </w:style>
  <w:style w:type="paragraph" w:styleId="853">
    <w:name w:val="Caption"/>
    <w:basedOn w:val="843"/>
    <w:qFormat/>
    <w:pPr>
      <w:spacing w:before="120" w:after="120"/>
      <w:suppressLineNumbers/>
    </w:pPr>
    <w:rPr>
      <w:rFonts w:cs="Lohit Devanagari"/>
      <w:i/>
      <w:iCs/>
      <w:sz w:val="24"/>
      <w:szCs w:val="24"/>
    </w:rPr>
  </w:style>
  <w:style w:type="paragraph" w:styleId="854">
    <w:name w:val="Указатель"/>
    <w:basedOn w:val="843"/>
    <w:qFormat/>
    <w:pPr>
      <w:suppressLineNumbers/>
    </w:pPr>
    <w:rPr>
      <w:rFonts w:cs="Lohit Devanagari"/>
    </w:rPr>
  </w:style>
  <w:style w:type="paragraph" w:styleId="855">
    <w:name w:val="List Paragraph"/>
    <w:basedOn w:val="843"/>
    <w:uiPriority w:val="34"/>
    <w:qFormat/>
    <w:pPr>
      <w:contextualSpacing/>
      <w:ind w:left="720" w:firstLine="0"/>
      <w:spacing w:before="0" w:after="0"/>
    </w:pPr>
  </w:style>
  <w:style w:type="paragraph" w:styleId="856">
    <w:name w:val="Верхний и нижний колонтитулы"/>
    <w:basedOn w:val="843"/>
    <w:qFormat/>
  </w:style>
  <w:style w:type="paragraph" w:styleId="857">
    <w:name w:val="Header"/>
    <w:basedOn w:val="843"/>
    <w:pPr>
      <w:tabs>
        <w:tab w:val="clear" w:pos="708" w:leader="none"/>
        <w:tab w:val="center" w:pos="4536" w:leader="none"/>
        <w:tab w:val="right" w:pos="9072" w:leader="none"/>
      </w:tabs>
    </w:pPr>
  </w:style>
  <w:style w:type="paragraph" w:styleId="858">
    <w:name w:val="No Spacing"/>
    <w:basedOn w:val="843"/>
    <w:uiPriority w:val="1"/>
    <w:qFormat/>
    <w:rPr>
      <w:rFonts w:ascii="Calibri" w:hAnsi="Calibri"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859">
    <w:name w:val="Текст в заданном формате"/>
    <w:basedOn w:val="843"/>
    <w:qFormat/>
    <w:pPr>
      <w:spacing w:before="0" w:after="0"/>
    </w:pPr>
    <w:rPr>
      <w:rFonts w:ascii="Liberation Mono" w:hAnsi="Liberation Mono" w:eastAsia="Liberation Mono"/>
      <w:sz w:val="20"/>
      <w:szCs w:val="20"/>
    </w:rPr>
  </w:style>
  <w:style w:type="paragraph" w:styleId="860">
    <w:name w:val="Footer"/>
    <w:basedOn w:val="856"/>
    <w:pPr>
      <w:tabs>
        <w:tab w:val="clear" w:pos="708" w:leader="none"/>
        <w:tab w:val="center" w:pos="4677" w:leader="none"/>
        <w:tab w:val="right" w:pos="9355" w:leader="none"/>
      </w:tabs>
      <w:suppressLineNumbers/>
    </w:pPr>
  </w:style>
  <w:style w:type="numbering" w:styleId="861" w:default="1">
    <w:name w:val="No List"/>
    <w:uiPriority w:val="99"/>
    <w:semiHidden/>
    <w:unhideWhenUsed/>
    <w:qFormat/>
  </w:style>
  <w:style w:type="numbering" w:styleId="862">
    <w:name w:val="Нумерованный 123"/>
    <w:qFormat/>
  </w:style>
  <w:style w:type="table" w:styleId="86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4">
    <w:name w:val="Table Grid"/>
    <w:basedOn w:val="863"/>
    <w:uiPriority w:val="59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gymkhana-cup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dc:language>ru-RU</dc:language>
  <cp:lastModifiedBy>Мотоджимхана Екатеринбург</cp:lastModifiedBy>
  <cp:revision>33</cp:revision>
  <dcterms:created xsi:type="dcterms:W3CDTF">2016-10-09T05:34:00Z</dcterms:created>
  <dcterms:modified xsi:type="dcterms:W3CDTF">2024-05-22T12:25:20Z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